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300"/>
        <w:jc w:val="center"/>
      </w:pPr>
      <w:r>
        <w:rPr>
          <w:b/>
          <w:bCs/>
          <w:color w:val="1F4E6B"/>
          <w:spacing w:val="70"/>
          <w:sz w:val="40"/>
          <w:szCs w:val="40"/>
        </w:rPr>
        <w:t xml:space="preserve">TUTORIUM</w:t>
      </w:r>
    </w:p>
    <w:p>
      <w:pPr>
        <w:spacing w:after="380"/>
        <w:jc w:val="center"/>
      </w:pPr>
      <w:r>
        <w:rPr>
          <w:color w:val="5A6B7E"/>
          <w:sz w:val="21"/>
          <w:szCs w:val="21"/>
        </w:rPr>
        <w:t xml:space="preserve">Cohort management platform for tutoring centres, language schools and training institutes</w:t>
      </w:r>
    </w:p>
    <w:p>
      <w:pPr>
        <w:pBdr>
          <w:top w:val="single" w:color="DCE3EA" w:sz="8"/>
          <w:bottom w:val="single" w:color="DCE3EA" w:sz="8"/>
        </w:pBdr>
        <w:spacing w:after="180"/>
        <w:jc w:val="center"/>
      </w:pPr>
      <w:r>
        <w:rPr>
          <w:b/>
          <w:bCs/>
          <w:color w:val="13323F"/>
          <w:sz w:val="42"/>
          <w:szCs w:val="42"/>
        </w:rPr>
        <w:t xml:space="preserve">Roadmap &amp; Delivery Plan</w:t>
      </w:r>
    </w:p>
    <w:p>
      <w:pPr>
        <w:spacing w:after="1100"/>
        <w:jc w:val="center"/>
      </w:pPr>
      <w:r>
        <w:rPr>
          <w:i/>
          <w:iCs/>
          <w:color w:val="5A6B7E"/>
          <w:sz w:val="23"/>
          <w:szCs w:val="23"/>
        </w:rPr>
        <w:t xml:space="preserve">Phased delivery, effort estimates, milestones, scope control, budget and risk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SL-PLN-008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0.1 — draft for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 August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snova · github.com/snova-labs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Tutorium — </w:t>
            </w:r>
            <w:r>
              <w:rPr>
                <w:b/>
                <w:bCs/>
                <w:sz w:val="19"/>
                <w:szCs w:val="19"/>
              </w:rPr>
              <w:t xml:space="preserve">provisional</w:t>
            </w:r>
            <w:r>
              <w:rPr>
                <w:sz w:val="19"/>
                <w:szCs w:val="19"/>
              </w:rPr>
              <w:t xml:space="preserve">; trademark and domain clearance pending. The codebase uses no product name (see SL-ARC-002 §1), so a rename is a configuration change.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— open for edits and additions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SL-PRD-000 §11 (phases) · SL-SRS-001 (phase-tagged requirements)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1.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Vertical slices.</w:t>
      </w:r>
      <w:r>
        <w:t xml:space="preserve"> Each work item delivers something demonstrable end to end rather than a layer that cannot be shown.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Phase gates, not deadlines.</w:t>
      </w:r>
      <w:r>
        <w:t xml:space="preserve"> A phase ends when its acceptance criteria in SL-SRS-001 §7 pass, not when a date arrives. Dates below are estimates for planning, not commitments.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Tenancy from commit one.</w:t>
      </w:r>
      <w:r>
        <w:t xml:space="preserve"> Every table and query is tenant-scoped from the beginning; retrofitting multi-tenancy is the most expensive avoidable mistake available.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Sell before automating.</w:t>
      </w:r>
      <w:r>
        <w:t xml:space="preserve"> Manual onboarding through P2–P3 teaches what self-serve must do; building signup first would automate guesses.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Cheap until it must not be.</w:t>
      </w:r>
      <w:r>
        <w:t xml:space="preserve"> One small server carries the product through the first customers (SL-ARC-002 §11); infrastructure spend follows revenue.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2. Capability Mapping</w:t>
      </w:r>
    </w:p>
    <w:p>
      <w:pPr>
        <w:spacing w:after="120" w:line="276"/>
        <w:jc w:val="both"/>
      </w:pPr>
      <w:r>
        <w:t xml:space="preserve">Single developer (</w:t>
      </w:r>
      <w:r>
        <w:rPr>
          <w:b/>
          <w:bCs/>
        </w:rPr>
        <w:t xml:space="preserve">snova</w:t>
      </w:r>
      <w:r>
        <w:t xml:space="preserve">), working from a background in production PHP/Laravel systems, multi-tenant SaaS, relational modeling, cloud and container operations, and workflow automation.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46"/>
      </w:tblGrid>
      <w:tr>
        <w:trPr>
          <w:tblHeader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carries the plan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PHP / Laravel — services, queues, policies, migrations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Primary strength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The entire domain layer; P1 and P2 rest on this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Relational modeling / MySQL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Schema, indexing, metering correctness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Admin panel tooling (Filament)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CRUD-heavy modules delivered in hours rather than days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React / Next.js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Not required until P5 portals — deliberately unused earlier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Docker, CI/CD, cloud operations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Working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Confined to P1 week 1 and P5 packaging, both with fallbacks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Payments and billing systems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Working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P3; the highest-unknown area, so estimated with the widest range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Workflow automation (n8n)</w:t>
            </w:r>
          </w:p>
        </w:tc>
        <w:tc>
          <w:tcPr>
            <w:tcW w:type="dxa" w:w="1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Working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Optional email driver only — never on the critical path</w:t>
            </w:r>
          </w:p>
        </w:tc>
      </w:tr>
    </w:tbl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Honest read: the academic core sits squarely in the strongest zone and is low-risk. The genuine unknowns are billing correctness (P3) and Microsoft consent flows (P5). Both are isolated behind interfaces so that difficulty there cannot contaminate the working product.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3. Phase Plan</w:t>
      </w:r>
    </w:p>
    <w:p>
      <w:pPr>
        <w:spacing w:after="120" w:line="276"/>
        <w:jc w:val="both"/>
      </w:pPr>
      <w:r>
        <w:t xml:space="preserve">Estimates assume focused full-time work by one developer and include testing and documentation. Ranges are honest, not padded — the wider the range, the less certain the work.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300"/>
        <w:gridCol w:w="2646"/>
      </w:tblGrid>
      <w:tr>
        <w:trPr>
          <w:tblHeader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  <w:tc>
          <w:tcPr>
            <w:tcW w:type="dxa" w:w="2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P1 — Academic core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Tenancy foundation, identity and RBAC, org hierarchy, settings resolver, ID sequences, courses/batches/timetable/sessions, people and enrollment, attendance, dynamic grading, notes, periods, reports and delivery, dashboards, audit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3–4 weeks</w:t>
            </w:r>
          </w:p>
        </w:tc>
        <w:tc>
          <w:tcPr>
            <w:tcW w:type="dxa" w:w="2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real training centre could run on it — with manual setup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P2 — Tenant-ready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Presets, guided onboarding, terminology overrides, per-brand branding and email, Excel import/export, operator console with impersonation, tenant export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1.5–2 weeks</w:t>
            </w:r>
          </w:p>
        </w:tc>
        <w:tc>
          <w:tcPr>
            <w:tcW w:type="dxa" w:w="2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customer can be onboarded in 15 minutes and supported properly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 — Commercial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Plans and entitlements, metering, Stripe plus manual invoicing, trials, dunning, usage meter, legal and security artifacts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2–3 weeks</w:t>
            </w:r>
          </w:p>
        </w:tc>
        <w:tc>
          <w:tcPr>
            <w:tcW w:type="dxa" w:w="2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Money can be taken from a stranger safely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P4 — Self-serve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Public signup, subdomains, custom domains with certificates, billing portal, in-product onboarding, marketing site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2–3 weeks</w:t>
            </w:r>
          </w:p>
        </w:tc>
        <w:tc>
          <w:tcPr>
            <w:tcW w:type="dxa" w:w="2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Acquisition without a conversation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P5 — Distribution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On-premises packaging and licensing, Microsoft drivers (mail, Teams, calendar, SSO), learner and guardian portals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4–6 weeks</w:t>
            </w:r>
          </w:p>
        </w:tc>
        <w:tc>
          <w:tcPr>
            <w:tcW w:type="dxa" w:w="2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Enterprise and channel reach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Cumulative to first revenue (P1–P3): roughly 7–9 weeks.</w:t>
      </w:r>
      <w:r>
        <w:t xml:space="preserve"> The earlier one-week figure belonged to a single-institute internal tool; a multi-tenant commercial product is a different undertaking, and saying so now is cheaper than discovering it in week two.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4. P1 Breakdown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5300"/>
        <w:gridCol w:w="2246"/>
      </w:tblGrid>
      <w:tr>
        <w:trPr>
          <w:tblHeader/>
        </w:trPr>
        <w:tc>
          <w:tcPr>
            <w:tcW w:type="dxa" w:w="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W1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Foundation</w:t>
            </w:r>
          </w:p>
        </w:tc>
        <w:tc>
          <w:tcPr>
            <w:tcW w:type="dxa" w:w="5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Repository, local stack, framework and panel setup, tenancy scaffolding with the isolation test harness, identity and RBAC, brands and branches, settings resolver, ID sequences</w:t>
            </w:r>
          </w:p>
        </w:tc>
        <w:tc>
          <w:tcPr>
            <w:tcW w:type="dxa" w:w="2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Two tenants exist; the isolation suite is green; a composed role is denied settings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W2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Academic structure</w:t>
            </w:r>
          </w:p>
        </w:tc>
        <w:tc>
          <w:tcPr>
            <w:tcW w:type="dxa" w:w="5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Courses, batches, timetable, session generation with timezone handling, holidays, period service and reporting periods, learners, guardians, enrollments with status history</w:t>
            </w:r>
          </w:p>
        </w:tc>
        <w:tc>
          <w:tcPr>
            <w:tcW w:type="dxa" w:w="2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DST-crossing batch generates correct sessions; a learner is enrolled and audited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W3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Teaching workflow</w:t>
            </w:r>
          </w:p>
        </w:tc>
        <w:tc>
          <w:tcPr>
            <w:tcW w:type="dxa" w:w="5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Attendance policies and mobile-first grid, assessment types and grading schemes, assessments, grade grid, weighted aggregation with unit tests, teacher notes</w:t>
            </w:r>
          </w:p>
        </w:tc>
        <w:tc>
          <w:tcPr>
            <w:tcW w:type="dxa" w:w="2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Mixed-scheme weighted average matches a hand calculation; late-join policy 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W4</w:t>
            </w:r>
          </w:p>
        </w:tc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5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 templates and PDF rendering, storage, bulk runs with partial-failure handling, delivery tracking and retries, dashboards, audit views, hardening</w:t>
            </w:r>
          </w:p>
        </w:tc>
        <w:tc>
          <w:tcPr>
            <w:tcW w:type="dxa" w:w="2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Batch reports generate and deliver; a forced failure is visible and retryable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5. Milestones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6646"/>
      </w:tblGrid>
      <w:tr>
        <w:trPr>
          <w:tblHeader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 / no-go question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M1 — Isolation proven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W1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 a user of one tenant reach another’s data by any route? Must be no, with tests.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M2 — Structure usable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W2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 a real batch and roster be entered for a real month?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M3 — Teachers could use it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W3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Would a teacher run this week’s class on it?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M4 — Reports out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P1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Did every intended recipient get a correct, branded report?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M5 — Onboarding works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P2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 a new customer reach "attendance recorded" in 15 minutes unaided?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M6 — Revenue safe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P3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Does the invoice match a hand-counted roster, and is the paperwork in place?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M7 — Self-serve</w:t>
            </w:r>
          </w:p>
        </w:tc>
        <w:tc>
          <w:tcPr>
            <w:tcW w:type="dxa" w:w="1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End P4</w:t>
            </w:r>
          </w:p>
        </w:tc>
        <w:tc>
          <w:tcPr>
            <w:tcW w:type="dxa" w:w="6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 a stranger sign up, trial, pay and succeed with no human involvement?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6. Design Partner Programme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Recruit 3–5 centres across the three verticals during P1, ideally within travelling distance — the first customers are won by trust, not by a landing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Offer: free through P2 and heavily discounted for the first year, in exchange for weekly feedback, a reference quote, and permission to use anonymized screenshots.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Ask precisely: watch a teacher take attendance and a manager read a report, rather than collecting feature requests. Feature lists from customers describe their current workaround, not their problem.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Cap the number deliberately. Each partner consumes support time that comes directly out of build time.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7. Scope Control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phase-tagged requirements in SL-SRS-001 are the scope. Anything untagged is not in the plan.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new requirement admitted mid-phase displaces something of equal size, in writing. There is no hidden slack.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Pre-agreed de-scope order under pressure in P1: (1) trend charts on dashboards (tables remain), (2) make-up session linking, (3) note templates, (4) holiday calendars, (5) batch cloning. Attendance, grading, reporting and audit are never de-scoped — they are the product.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Explicitly not attempted before their phase: payments, custom domains, Microsoft drivers, portals, mobile applications, fee and invoice management for tenants, AI-assisted report writing.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8. Risk Register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00"/>
        <w:gridCol w:w="900"/>
        <w:gridCol w:w="4946"/>
      </w:tblGrid>
      <w:tr>
        <w:trPr>
          <w:tblHeader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tenancy leak reaches production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Catastrophic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Automatic scoping, generated isolation tests as a blocking check, per-resource review note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Configurability produces an unusable setup experience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Presets, guided onboarding, effective-value display; activation metric watched from the first design partner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Metering disputes with customers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Published definition, live meter, immutable snapshots, exportable history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Custom grids cost more than estimated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Budgeted as bespoke pages in W3; fallback is simplified per-learner entry on the same data model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Compliance paperwork blocks the first EU customer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Artifacts listed in SL-SEC-004 §11 prepared during P3, not after a deal appears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Operating entity undecided at first sale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Manual invoicing works without card processing; decision forced at M6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Solo-founder outage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Daily deploys, documented decisions, tests as executable specification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Scope creep from design partners</w:t>
            </w:r>
          </w:p>
        </w:tc>
        <w:tc>
          <w:tcPr>
            <w:tcW w:type="dxa" w:w="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Written trade rule (§7); partners see the roadmap and where their request landed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9. Budget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900"/>
        <w:gridCol w:w="2046"/>
      </w:tblGrid>
      <w:tr>
        <w:trPr>
          <w:tblHeader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Services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Indicative monthly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Build (P1–P2)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 development; one small staging server</w:t>
            </w:r>
          </w:p>
        </w:tc>
        <w:tc>
          <w:tcPr>
            <w:tcW w:type="dxa" w:w="2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Domain, repository, error tracking free tiers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Single-digit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First customers (P3)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production server plus backups</w:t>
            </w:r>
          </w:p>
        </w:tc>
        <w:tc>
          <w:tcPr>
            <w:tcW w:type="dxa" w:w="2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Payment processing fees; transactional email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 double-digit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~25 tenants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Larger server or split database; object storage</w:t>
            </w:r>
          </w:p>
        </w:tc>
        <w:tc>
          <w:tcPr>
            <w:tcW w:type="dxa" w:w="2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Email volume; monitoring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~100 tenants</w:t>
            </w:r>
          </w:p>
        </w:tc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Split app/database/worker; managed backups</w:t>
            </w:r>
          </w:p>
        </w:tc>
        <w:tc>
          <w:tcPr>
            <w:tcW w:type="dxa" w:w="2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Support tooling; legal review</w:t>
            </w:r>
          </w:p>
        </w:tc>
        <w:tc>
          <w:tcPr>
            <w:tcW w:type="dxa" w:w="20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 hundreds</w:t>
            </w:r>
          </w:p>
        </w:tc>
      </w:tr>
    </w:tbl>
    <w:p>
      <w:pPr>
        <w:spacing w:after="120" w:line="276"/>
        <w:jc w:val="both"/>
      </w:pPr>
      <w:r>
        <w:t xml:space="preserve">Infrastructure is not the constraint on this business at any realistic stage — developer time is. The correct optimization is shipping fewer, better modules, not saving money on servers.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10. Definition of Done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requirement ID is referenced in the change, and its acceptance criterion is exercised by a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Authorization denial and tenant isolation are both covered for any new resource.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Audit entries verified for new write paths; preset and seed data updated; documentation updated where behavior changed.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Screens checked against the interface standards in SL-ARC-002 §13, including the mobile case for anything a teacher uses in class.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Deployed to staging and demonstrated — a feature nobody has seen working is not done.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11. Operating Cadence After Launch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Weekly: review activation and usage metrics, failed deliveries and error trends; one improvement shipped from customer feedback.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Monthly: restore rehearsal, dependency updates, roadmap review against the metrics in SL-PRD-000 §9.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Quarterly: pricing and packaging review against actual usage; security review; decision-record backlog cleared.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Continuously: every support conversation ends with the question of what product change would have prevented it.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/>
      </w:pBdr>
      <w:jc w:val="center"/>
    </w:pPr>
    <w:r>
      <w:rPr>
        <w:color w:val="5A6B7E"/>
        <w:sz w:val="17"/>
        <w:szCs w:val="17"/>
      </w:rPr>
      <w:t xml:space="preserve">SL-PLN-008 · Roadmap &amp; Delivery Plan · snova-labs   |   Page </w:t>
    </w:r>
    <w:r>
      <w:rPr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</w:rPr>
      <w:t xml:space="preserve"> of </w:t>
    </w:r>
    <w:r>
      <w:rPr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2026-08-18T11:00:29.981Z</dcterms:created>
  <dcterms:modified xsi:type="dcterms:W3CDTF">2026-08-18T11:00:29.981Z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