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7360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Playwright CLI常用命令手册（含详细使用说明，可打印备用）</w:t>
      </w:r>
    </w:p>
    <w:p w14:paraId="2700C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说明：本手册整合Playwright CLI日常高频命令，按功能分类整理，适配Windows/macOS双系统，命令可直接复制执行，兼顾新手入门与资深工程师高效查阅，建议打印后备用。</w:t>
      </w:r>
    </w:p>
    <w:p w14:paraId="0BBF71D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一、基础配置命令（必学，初始化与环境管理）</w:t>
      </w:r>
      <w:bookmarkEnd w:id="0"/>
    </w:p>
    <w:p w14:paraId="3E43C76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全局安装Playwright（含CLI工具）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npm install -g playwright</w:t>
      </w:r>
      <w:r>
        <w:rPr>
          <w:rFonts w:ascii="Arial" w:hAnsi="Arial" w:eastAsia="等线" w:cs="Arial"/>
          <w:sz w:val="22"/>
        </w:rPr>
        <w:t>说明：Node.js环境（≥16.13.0）安装完成后执行，一键安装Playwright核心包及CLI工具，为后续所有命令执行奠定基础。适用场景：首次搭建Playwright环境时使用。</w:t>
      </w:r>
    </w:p>
    <w:p w14:paraId="08D12AF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补充安装浏览器依赖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install --with-deps</w:t>
      </w:r>
      <w:r>
        <w:rPr>
          <w:rFonts w:ascii="Arial" w:hAnsi="Arial" w:eastAsia="等线" w:cs="Arial"/>
          <w:sz w:val="22"/>
        </w:rPr>
        <w:t>说明：若全局安装后执行命令报错（提示浏览器未安装），执行此命令，自动安装所有主流浏览器（Chromium、Firefox等）及对应依赖。适用场景：安装失败、浏览器缺失时排查使用。</w:t>
      </w:r>
    </w:p>
    <w:p w14:paraId="0FD65EF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验证CLI安装成功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--version</w:t>
      </w:r>
      <w:r>
        <w:rPr>
          <w:rFonts w:ascii="Arial" w:hAnsi="Arial" w:eastAsia="等线" w:cs="Arial"/>
          <w:sz w:val="22"/>
        </w:rPr>
        <w:t>说明：执行后正常输出版本号，即表示Playwright CLI安装成功；可选补充命令</w:t>
      </w:r>
      <w:r>
        <w:rPr>
          <w:rFonts w:ascii="Consolas" w:hAnsi="Consolas" w:eastAsia="Consolas" w:cs="Consolas"/>
          <w:sz w:val="22"/>
          <w:shd w:val="clear" w:fill="EFF0F1"/>
        </w:rPr>
        <w:t>npx playwright help</w:t>
      </w:r>
      <w:r>
        <w:rPr>
          <w:rFonts w:ascii="Arial" w:hAnsi="Arial" w:eastAsia="等线" w:cs="Arial"/>
          <w:sz w:val="22"/>
        </w:rPr>
        <w:t>，查看所有CLI命令及基础用法。适用场景：安装完成后验证环境可用性。</w:t>
      </w:r>
    </w:p>
    <w:p w14:paraId="00DBB02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初始化测试项目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init</w:t>
      </w:r>
      <w:r>
        <w:rPr>
          <w:rFonts w:ascii="Arial" w:hAnsi="Arial" w:eastAsia="等线" w:cs="Arial"/>
          <w:sz w:val="22"/>
        </w:rPr>
        <w:t>说明：首次使用Playwright开展测试时执行，自动生成基础配置文件（playwright.config.ts）、测试用例目录及示例脚本，无需手动创建。适用场景：新测试项目搭建初始化。</w:t>
      </w:r>
    </w:p>
    <w:p w14:paraId="2C9E7F3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查看已安装浏览器列表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install --list</w:t>
      </w:r>
      <w:r>
        <w:rPr>
          <w:rFonts w:ascii="Arial" w:hAnsi="Arial" w:eastAsia="等线" w:cs="Arial"/>
          <w:sz w:val="22"/>
        </w:rPr>
        <w:t>说明：查看当前环境已安装的浏览器类型及版本，明确可用于测试的浏览器环境。适用场景：确认测试浏览器环境、排查浏览器相关报错。</w:t>
      </w:r>
    </w:p>
    <w:p w14:paraId="716ABF4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更新Playwright及CLI工具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npm update -g playwright</w:t>
      </w:r>
      <w:r>
        <w:rPr>
          <w:rFonts w:ascii="Arial" w:hAnsi="Arial" w:eastAsia="等线" w:cs="Arial"/>
          <w:sz w:val="22"/>
        </w:rPr>
        <w:t>说明：将Playwright核心包及CLI工具更新至最新版本，适配最新浏览器及测试场景。适用场景：遇到版本兼容问题、需使用新功能时。</w:t>
      </w:r>
    </w:p>
    <w:p w14:paraId="37C98AA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二、用例执行命令（高频，回归测试核心）</w:t>
      </w:r>
      <w:bookmarkEnd w:id="1"/>
    </w:p>
    <w:p w14:paraId="41712AA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批量运行所有回归用例（推荐基础版）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test e2e/baidu_regression --browser=chromium --reporter=html</w:t>
      </w:r>
      <w:r>
        <w:rPr>
          <w:rFonts w:ascii="Arial" w:hAnsi="Arial" w:eastAsia="等线" w:cs="Arial"/>
          <w:sz w:val="22"/>
        </w:rPr>
        <w:t>说明：指定Chromium浏览器，批量运行e2e/baidu_regression目录下所有测试用例，失败用例自动保留截图，生成HTML格式测试报告。适用场景：日常回归测试，批量执行所有用例。</w:t>
      </w:r>
    </w:p>
    <w:p w14:paraId="1895B3B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批量运行用例+自动打开HTML报告（推荐首选）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test e2e/baidu_regression --browser=chromium --reporter=html &amp;&amp; npx playwright show-report</w:t>
      </w:r>
      <w:r>
        <w:rPr>
          <w:rFonts w:ascii="Arial" w:hAnsi="Arial" w:eastAsia="等线" w:cs="Arial"/>
          <w:sz w:val="22"/>
        </w:rPr>
        <w:t>说明：在批量执行用例的基础上，自动生成并打开HTML测试报告，无需手动执行报告打开命令，高效查看测试结果。适用场景：回归测试完成后，快速查看用例执行结果及失败详情。</w:t>
      </w:r>
    </w:p>
    <w:p w14:paraId="6F97477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单独运行单个测试用例（调试专用）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test e2e/baidu_regression/scene1-normal-search.spec.ts --browser=chromium --reporter=html</w:t>
      </w:r>
      <w:r>
        <w:rPr>
          <w:rFonts w:ascii="Arial" w:hAnsi="Arial" w:eastAsia="等线" w:cs="Arial"/>
          <w:sz w:val="22"/>
        </w:rPr>
        <w:t>说明：指定单个脚本文件（示例为场景1脚本）执行，仅运行目标用例，适合脚本调试、单个场景验证。适用场景：脚本编写完成后调试、单个测试场景排查问题。</w:t>
      </w:r>
    </w:p>
    <w:p w14:paraId="3C79672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运行用例+显示详细执行日志（排查专用）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test e2e/baidu_regression --browser=chromium --reporter=list</w:t>
      </w:r>
      <w:r>
        <w:rPr>
          <w:rFonts w:ascii="Arial" w:hAnsi="Arial" w:eastAsia="等线" w:cs="Arial"/>
          <w:sz w:val="22"/>
        </w:rPr>
        <w:t>说明：批量执行用例时，显示每一步详细执行日志（如元素定位、操作状态等），便于排查复杂失败问题（如元素未加载、超时等）。适用场景：用例执行失败、无法快速定位问题根源时。</w:t>
      </w:r>
    </w:p>
    <w:p w14:paraId="6EC359E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三、调试与排查命令（实用，问题定位必备）</w:t>
      </w:r>
      <w:bookmarkEnd w:id="2"/>
    </w:p>
    <w:p w14:paraId="5ECAA5C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手动打开测试报告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show-report</w:t>
      </w:r>
      <w:r>
        <w:rPr>
          <w:rFonts w:ascii="Arial" w:hAnsi="Arial" w:eastAsia="等线" w:cs="Arial"/>
          <w:sz w:val="22"/>
        </w:rPr>
        <w:t>说明：若批量执行用例后未自动打开报告，执行此命令手动打开HTML测试报告，查看用例执行详情、失败截图及轨迹。适用场景：报告未自动打开、需重新查看历史测试报告时。</w:t>
      </w:r>
    </w:p>
    <w:p w14:paraId="37631B8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安装指定浏览器（按需）</w:t>
      </w:r>
      <w:r>
        <w:rPr>
          <w:rFonts w:ascii="Arial" w:hAnsi="Arial" w:eastAsia="等线" w:cs="Arial"/>
          <w:sz w:val="22"/>
        </w:rPr>
        <w:t>命令：</w:t>
      </w:r>
      <w:r>
        <w:rPr>
          <w:rFonts w:ascii="Consolas" w:hAnsi="Consolas" w:eastAsia="Consolas" w:cs="Consolas"/>
          <w:sz w:val="22"/>
          <w:shd w:val="clear" w:fill="EFF0F1"/>
        </w:rPr>
        <w:t>npx playwright install chromium --with-deps</w:t>
      </w:r>
      <w:r>
        <w:rPr>
          <w:rFonts w:ascii="Arial" w:hAnsi="Arial" w:eastAsia="等线" w:cs="Arial"/>
          <w:sz w:val="22"/>
        </w:rPr>
        <w:t>说明：仅安装指定浏览器（示例为Chromium）及对应依赖，无需安装所有浏览器，节省环境空间。适用场景：仅需使用特定浏览器开展测试时。</w:t>
      </w:r>
    </w:p>
    <w:p w14:paraId="4D71859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四、使用注意事项（必看）</w:t>
      </w:r>
      <w:bookmarkEnd w:id="3"/>
    </w:p>
    <w:p w14:paraId="7CCED57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所有命令需在终端执行，执行前确保终端处于项目根目录（可通过</w:t>
      </w:r>
      <w:r>
        <w:rPr>
          <w:rFonts w:ascii="Consolas" w:hAnsi="Consolas" w:eastAsia="Consolas" w:cs="Consolas"/>
          <w:sz w:val="22"/>
          <w:shd w:val="clear" w:fill="EFF0F1"/>
        </w:rPr>
        <w:t>cd 项目路径</w:t>
      </w:r>
      <w:r>
        <w:rPr>
          <w:rFonts w:ascii="Arial" w:hAnsi="Arial" w:eastAsia="等线" w:cs="Arial"/>
          <w:sz w:val="22"/>
        </w:rPr>
        <w:t>切换）。</w:t>
      </w:r>
    </w:p>
    <w:p w14:paraId="2401BF7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命令中路径（如e2e/baidu_regression）需根据实际项目目录调整，确保路径正确。</w:t>
      </w:r>
    </w:p>
    <w:p w14:paraId="1CD6302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若执行命令时提示“权限不足”，Windows系统可右键终端选择“以管理员身份运行”，macOS系统在命令前添加</w:t>
      </w:r>
      <w:r>
        <w:rPr>
          <w:rFonts w:ascii="Consolas" w:hAnsi="Consolas" w:eastAsia="Consolas" w:cs="Consolas"/>
          <w:sz w:val="22"/>
          <w:shd w:val="clear" w:fill="EFF0F1"/>
        </w:rPr>
        <w:t>sudo</w:t>
      </w:r>
      <w:r>
        <w:rPr>
          <w:rFonts w:ascii="Arial" w:hAnsi="Arial" w:eastAsia="等线" w:cs="Arial"/>
          <w:sz w:val="22"/>
        </w:rPr>
        <w:t>。</w:t>
      </w:r>
    </w:p>
    <w:p w14:paraId="352B94F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本手册命令适配Playwright最新版本，若版本不一致，建议先执行更新命令（npm update -g playwright）。</w:t>
      </w:r>
      <w:bookmarkStart w:id="4" w:name="_GoBack"/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8487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7C1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E2B3A"/>
    <w:multiLevelType w:val="singleLevel"/>
    <w:tmpl w:val="9BBE2B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EC4216B"/>
    <w:multiLevelType w:val="singleLevel"/>
    <w:tmpl w:val="9EC421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35FCB08"/>
    <w:multiLevelType w:val="singleLevel"/>
    <w:tmpl w:val="A35FCB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BD49070"/>
    <w:multiLevelType w:val="singleLevel"/>
    <w:tmpl w:val="BBD490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FF8ED3"/>
    <w:multiLevelType w:val="singleLevel"/>
    <w:tmpl w:val="BFFF8E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FD1F5D"/>
    <w:multiLevelType w:val="singleLevel"/>
    <w:tmpl w:val="CFFD1F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67E883F"/>
    <w:multiLevelType w:val="singleLevel"/>
    <w:tmpl w:val="D67E88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E9FB6960"/>
    <w:multiLevelType w:val="singleLevel"/>
    <w:tmpl w:val="E9FB69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F5EBCC5"/>
    <w:multiLevelType w:val="singleLevel"/>
    <w:tmpl w:val="EF5EBC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FFFDECE"/>
    <w:multiLevelType w:val="singleLevel"/>
    <w:tmpl w:val="EFFFD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A7FDADC"/>
    <w:multiLevelType w:val="singleLevel"/>
    <w:tmpl w:val="FA7FDA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B6F1DDD"/>
    <w:multiLevelType w:val="singleLevel"/>
    <w:tmpl w:val="FB6F1D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FFC1EC1"/>
    <w:multiLevelType w:val="singleLevel"/>
    <w:tmpl w:val="FFFC1E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3CFCA112"/>
    <w:multiLevelType w:val="singleLevel"/>
    <w:tmpl w:val="3CFCA1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DF6B796"/>
    <w:multiLevelType w:val="singleLevel"/>
    <w:tmpl w:val="7DF6B7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F9A8D25"/>
    <w:multiLevelType w:val="singleLevel"/>
    <w:tmpl w:val="7F9A8D25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4"/>
  </w:num>
  <w:num w:numId="5">
    <w:abstractNumId w:val="6"/>
  </w:num>
  <w:num w:numId="6">
    <w:abstractNumId w:val="10"/>
  </w:num>
  <w:num w:numId="7">
    <w:abstractNumId w:val="0"/>
  </w:num>
  <w:num w:numId="8">
    <w:abstractNumId w:val="11"/>
  </w:num>
  <w:num w:numId="9">
    <w:abstractNumId w:val="15"/>
  </w:num>
  <w:num w:numId="10">
    <w:abstractNumId w:val="3"/>
  </w:num>
  <w:num w:numId="11">
    <w:abstractNumId w:val="1"/>
  </w:num>
  <w:num w:numId="12">
    <w:abstractNumId w:val="7"/>
  </w:num>
  <w:num w:numId="13">
    <w:abstractNumId w:val="2"/>
  </w:num>
  <w:num w:numId="14">
    <w:abstractNumId w:val="14"/>
  </w:num>
  <w:num w:numId="15">
    <w:abstractNumId w:val="8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NzQ0MDk1OTdhMmQzZDZhNWUxZjk5MDg2NWJkOWRjZTgifQ=="/>
  </w:docVars>
  <w:rsids>
    <w:rsidRoot w:val="00000000"/>
    <w:rsid w:val="7DFF76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Office_6.10.1.8873_F1E327BC-269C-435d-A152-05C5408002CA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2026-02-06T22:12:00Z</dcterms:created>
  <dc:creator>Apache POI</dc:creator>
  <cp:lastModifiedBy>Jasmine</cp:lastModifiedBy>
  <dcterms:modified xsi:type="dcterms:W3CDTF">2026-02-06T22:12:58Z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6CCFD31501F7A923EAF68569C5B27B0C_42</vt:lpwstr>
  </property>
</Properties>
</file>