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B3181">
      <w:pPr>
        <w:jc w:val="center"/>
        <w:rPr>
          <w:rFonts w:ascii="仿宋" w:hAnsi="仿宋" w:eastAsia="仿宋"/>
          <w:b/>
          <w:color w:val="000000" w:themeColor="text1"/>
          <w:sz w:val="32"/>
          <w:szCs w:val="32"/>
          <w14:textFill>
            <w14:solidFill>
              <w14:schemeClr w14:val="tx1"/>
            </w14:solidFill>
          </w14:textFill>
        </w:rPr>
      </w:pPr>
      <w:r>
        <w:rPr>
          <w:rFonts w:hint="eastAsia" w:ascii="仿宋" w:hAnsi="仿宋" w:eastAsia="仿宋"/>
          <w:b/>
          <w:color w:val="000000" w:themeColor="text1"/>
          <w:sz w:val="32"/>
          <w:szCs w:val="32"/>
          <w14:textFill>
            <w14:solidFill>
              <w14:schemeClr w14:val="tx1"/>
            </w14:solidFill>
          </w14:textFill>
        </w:rPr>
        <w:t>公共卫生服务管理系统售前资料</w:t>
      </w:r>
    </w:p>
    <w:p w14:paraId="483A0E13">
      <w:pPr>
        <w:pStyle w:val="12"/>
        <w:keepNext/>
        <w:numPr>
          <w:ilvl w:val="0"/>
          <w:numId w:val="1"/>
        </w:numPr>
        <w:spacing w:line="360" w:lineRule="auto"/>
        <w:ind w:firstLineChars="0"/>
        <w:outlineLvl w:val="0"/>
        <w:rPr>
          <w:rFonts w:ascii="仿宋" w:hAnsi="仿宋" w:eastAsia="仿宋"/>
          <w:b/>
          <w:color w:val="000000" w:themeColor="text1"/>
          <w:sz w:val="32"/>
          <w:szCs w:val="32"/>
          <w14:textFill>
            <w14:solidFill>
              <w14:schemeClr w14:val="tx1"/>
            </w14:solidFill>
          </w14:textFill>
        </w:rPr>
      </w:pPr>
      <w:r>
        <w:rPr>
          <w:rFonts w:hint="eastAsia" w:ascii="仿宋" w:hAnsi="仿宋" w:eastAsia="仿宋"/>
          <w:b/>
          <w:color w:val="000000" w:themeColor="text1"/>
          <w:sz w:val="32"/>
          <w:szCs w:val="32"/>
          <w14:textFill>
            <w14:solidFill>
              <w14:schemeClr w14:val="tx1"/>
            </w14:solidFill>
          </w14:textFill>
        </w:rPr>
        <w:t>系统介绍</w:t>
      </w:r>
    </w:p>
    <w:p w14:paraId="1980E28D">
      <w:pPr>
        <w:spacing w:line="360" w:lineRule="auto"/>
        <w:ind w:firstLine="560" w:firstLineChars="200"/>
        <w:rPr>
          <w:rFonts w:ascii="仿宋" w:hAnsi="仿宋" w:eastAsia="仿宋"/>
          <w:color w:val="000000" w:themeColor="text1"/>
          <w:sz w:val="28"/>
          <w:szCs w:val="24"/>
          <w14:textFill>
            <w14:solidFill>
              <w14:schemeClr w14:val="tx1"/>
            </w14:solidFill>
          </w14:textFill>
        </w:rPr>
      </w:pPr>
      <w:commentRangeStart w:id="0"/>
      <w:r>
        <w:rPr>
          <w:rFonts w:hint="eastAsia" w:ascii="仿宋" w:hAnsi="仿宋" w:eastAsia="仿宋"/>
          <w:color w:val="000000" w:themeColor="text1"/>
          <w:sz w:val="28"/>
          <w:szCs w:val="24"/>
          <w14:textFill>
            <w14:solidFill>
              <w14:schemeClr w14:val="tx1"/>
            </w14:solidFill>
          </w14:textFill>
        </w:rPr>
        <w:t>公共卫生管理系统以国家基本公共卫生服务规范(第三版)为依据，以卫健委/局、社区卫生服务中心、乡镇卫生院、社区卫生服务站、村卫生所、预防保健机构为目标对象，完成在服务、多项业务运行中动态更新档案及信息共享和流动处理。建立健全的疾病预防控制、健康教育、妇幼保健、卫生监督等专业公共卫生服务网络</w:t>
      </w:r>
      <w:r>
        <w:rPr>
          <w:rFonts w:hint="eastAsia" w:ascii="仿宋" w:hAnsi="仿宋" w:eastAsia="仿宋"/>
          <w:color w:val="000000" w:themeColor="text1"/>
          <w:sz w:val="28"/>
          <w:szCs w:val="24"/>
          <w:lang w:eastAsia="zh-CN"/>
          <w14:textFill>
            <w14:solidFill>
              <w14:schemeClr w14:val="tx1"/>
            </w14:solidFill>
          </w14:textFill>
        </w:rPr>
        <w:t>，以</w:t>
      </w:r>
      <w:r>
        <w:rPr>
          <w:rFonts w:hint="eastAsia" w:ascii="仿宋" w:hAnsi="仿宋" w:eastAsia="仿宋"/>
          <w:color w:val="000000" w:themeColor="text1"/>
          <w:sz w:val="28"/>
          <w:szCs w:val="24"/>
          <w14:textFill>
            <w14:solidFill>
              <w14:schemeClr w14:val="tx1"/>
            </w14:solidFill>
          </w14:textFill>
        </w:rPr>
        <w:t>完</w:t>
      </w:r>
      <w:r>
        <w:rPr>
          <w:rFonts w:hint="eastAsia" w:ascii="仿宋" w:hAnsi="仿宋" w:eastAsia="仿宋"/>
          <w:color w:val="000000" w:themeColor="text1"/>
          <w:sz w:val="28"/>
          <w:szCs w:val="24"/>
          <w:lang w:eastAsia="zh-CN"/>
          <w14:textFill>
            <w14:solidFill>
              <w14:schemeClr w14:val="tx1"/>
            </w14:solidFill>
          </w14:textFill>
        </w:rPr>
        <w:t>善以</w:t>
      </w:r>
      <w:r>
        <w:rPr>
          <w:rFonts w:hint="eastAsia" w:ascii="仿宋" w:hAnsi="仿宋" w:eastAsia="仿宋"/>
          <w:color w:val="000000" w:themeColor="text1"/>
          <w:sz w:val="28"/>
          <w:szCs w:val="24"/>
          <w14:textFill>
            <w14:solidFill>
              <w14:schemeClr w14:val="tx1"/>
            </w14:solidFill>
          </w14:textFill>
        </w:rPr>
        <w:t>基层医疗卫生服务网络为基础的医疗服务体系的公共卫生服务功能，建立分工明确、信息互通、资源共享、协调互动的公共卫生服务体系，提高公共卫生服务和突发公共卫生事件应急处置能力，促进城乡居民逐步享有均等化的基本公共卫生服务。</w:t>
      </w:r>
    </w:p>
    <w:p w14:paraId="190D1967">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加快医疗卫生信息系统建设，完善以疾病控制网络为主体的公共卫生信息管理系统，提高预测预警和分析报告能力；以建立居民健康档案为重点，构建乡村和社区卫生信息网络平台；以医院管理和电子病历为重点，推进医院信息化建设；利用网络信息技术，促进城市医院与社区卫生服务机构的合作；与基层医疗实现信息互通，逐步实现医卫融合。</w:t>
      </w:r>
      <w:commentRangeEnd w:id="0"/>
      <w:r>
        <w:rPr>
          <w:rStyle w:val="10"/>
        </w:rPr>
        <w:commentReference w:id="0"/>
      </w:r>
    </w:p>
    <w:p w14:paraId="4AADFC90">
      <w:pPr>
        <w:pStyle w:val="12"/>
        <w:keepNext/>
        <w:numPr>
          <w:ilvl w:val="0"/>
          <w:numId w:val="1"/>
        </w:numPr>
        <w:spacing w:line="360" w:lineRule="auto"/>
        <w:ind w:firstLineChars="0"/>
        <w:outlineLvl w:val="0"/>
        <w:rPr>
          <w:rFonts w:ascii="仿宋" w:hAnsi="仿宋" w:eastAsia="仿宋"/>
          <w:b/>
          <w:color w:val="000000" w:themeColor="text1"/>
          <w:sz w:val="32"/>
          <w:szCs w:val="32"/>
          <w14:textFill>
            <w14:solidFill>
              <w14:schemeClr w14:val="tx1"/>
            </w14:solidFill>
          </w14:textFill>
        </w:rPr>
      </w:pPr>
      <w:r>
        <w:rPr>
          <w:rFonts w:hint="eastAsia" w:ascii="仿宋" w:hAnsi="仿宋" w:eastAsia="仿宋"/>
          <w:b/>
          <w:color w:val="000000" w:themeColor="text1"/>
          <w:sz w:val="32"/>
          <w:szCs w:val="32"/>
          <w14:textFill>
            <w14:solidFill>
              <w14:schemeClr w14:val="tx1"/>
            </w14:solidFill>
          </w14:textFill>
        </w:rPr>
        <w:t>特色亮点</w:t>
      </w:r>
    </w:p>
    <w:p w14:paraId="2051DFC3">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实名建档</w:t>
      </w:r>
    </w:p>
    <w:p w14:paraId="0001FC5B">
      <w:pPr>
        <w:spacing w:line="360" w:lineRule="auto"/>
        <w:ind w:firstLine="560" w:firstLineChars="200"/>
        <w:rPr>
          <w:rFonts w:ascii="仿宋" w:hAnsi="仿宋" w:eastAsia="仿宋" w:cs="Times New Roman"/>
          <w:color w:val="000000" w:themeColor="text1"/>
          <w:sz w:val="28"/>
          <w:szCs w:val="24"/>
          <w14:textFill>
            <w14:solidFill>
              <w14:schemeClr w14:val="tx1"/>
            </w14:solidFill>
          </w14:textFill>
        </w:rPr>
      </w:pPr>
      <w:bookmarkStart w:id="0" w:name="_Hlk92206955"/>
      <w:r>
        <w:rPr>
          <w:rFonts w:hint="eastAsia" w:ascii="仿宋" w:hAnsi="仿宋" w:eastAsia="仿宋"/>
          <w:color w:val="000000" w:themeColor="text1"/>
          <w:sz w:val="28"/>
          <w:szCs w:val="24"/>
          <w14:textFill>
            <w14:solidFill>
              <w14:schemeClr w14:val="tx1"/>
            </w14:solidFill>
          </w14:textFill>
        </w:rPr>
        <w:t>实名制建档及服务，提供居民建档认证服务，实名制服务，提供居民信息确认，保证服务真实性。</w:t>
      </w:r>
    </w:p>
    <w:bookmarkEnd w:id="0"/>
    <w:p w14:paraId="1DCEF33D">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个人健康首页</w:t>
      </w:r>
    </w:p>
    <w:p w14:paraId="4FD8E008">
      <w:pPr>
        <w:spacing w:line="360" w:lineRule="auto"/>
        <w:ind w:firstLine="560" w:firstLineChars="200"/>
        <w:rPr>
          <w:rFonts w:ascii="仿宋" w:hAnsi="仿宋" w:eastAsia="仿宋" w:cs="Times New Roman"/>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个人健康首页，以居民全生命周期为维度展示服务记录，支持文档模式及时间轴模式，并提供三维图展示居民服务记录。</w:t>
      </w:r>
    </w:p>
    <w:p w14:paraId="3A3CB28E">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智能表单</w:t>
      </w:r>
      <w:bookmarkStart w:id="1" w:name="_GoBack"/>
      <w:bookmarkEnd w:id="1"/>
    </w:p>
    <w:p w14:paraId="20E8EA14">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系统业务表单中选项统一采用手动配置，可最大限</w:t>
      </w:r>
      <w:r>
        <w:rPr>
          <w:rFonts w:hint="eastAsia" w:ascii="仿宋" w:hAnsi="仿宋" w:eastAsia="仿宋"/>
          <w:color w:val="000000" w:themeColor="text1"/>
          <w:sz w:val="28"/>
          <w:szCs w:val="24"/>
          <w:lang w:eastAsia="zh-CN"/>
          <w14:textFill>
            <w14:solidFill>
              <w14:schemeClr w14:val="tx1"/>
            </w14:solidFill>
          </w14:textFill>
        </w:rPr>
        <w:t>度地</w:t>
      </w:r>
      <w:r>
        <w:rPr>
          <w:rFonts w:hint="eastAsia" w:ascii="仿宋" w:hAnsi="仿宋" w:eastAsia="仿宋"/>
          <w:color w:val="000000" w:themeColor="text1"/>
          <w:sz w:val="28"/>
          <w:szCs w:val="24"/>
          <w14:textFill>
            <w14:solidFill>
              <w14:schemeClr w14:val="tx1"/>
            </w14:solidFill>
          </w14:textFill>
        </w:rPr>
        <w:t>保证用户的使用，做到表单随用随变。</w:t>
      </w:r>
    </w:p>
    <w:p w14:paraId="70EBD3F6">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医卫融合</w:t>
      </w:r>
    </w:p>
    <w:p w14:paraId="3F7975C0">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通过接口与基层医疗服务系统实时交互，实现公卫获取基层医疗的诊疗相应信息，通过调阅界面，在基层医疗服务系统中调用公卫进行建档等操作。</w:t>
      </w:r>
    </w:p>
    <w:p w14:paraId="16EC7CC3">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移动公卫</w:t>
      </w:r>
    </w:p>
    <w:p w14:paraId="390F318B">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可配套公卫服务移动端系统，支持基层医护人员移动服务记录，支持离线和在线两种工作模式。</w:t>
      </w:r>
    </w:p>
    <w:p w14:paraId="5EB23EB3">
      <w:pPr>
        <w:pStyle w:val="12"/>
        <w:keepNext/>
        <w:numPr>
          <w:ilvl w:val="0"/>
          <w:numId w:val="1"/>
        </w:numPr>
        <w:spacing w:line="360" w:lineRule="auto"/>
        <w:ind w:firstLineChars="0"/>
        <w:outlineLvl w:val="0"/>
        <w:rPr>
          <w:rFonts w:ascii="仿宋" w:hAnsi="仿宋" w:eastAsia="仿宋"/>
          <w:b/>
          <w:color w:val="000000" w:themeColor="text1"/>
          <w:sz w:val="32"/>
          <w:szCs w:val="32"/>
          <w14:textFill>
            <w14:solidFill>
              <w14:schemeClr w14:val="tx1"/>
            </w14:solidFill>
          </w14:textFill>
        </w:rPr>
      </w:pPr>
      <w:r>
        <w:rPr>
          <w:rFonts w:hint="eastAsia" w:ascii="仿宋" w:hAnsi="仿宋" w:eastAsia="仿宋"/>
          <w:b/>
          <w:color w:val="000000" w:themeColor="text1"/>
          <w:sz w:val="32"/>
          <w:szCs w:val="32"/>
          <w14:textFill>
            <w14:solidFill>
              <w14:schemeClr w14:val="tx1"/>
            </w14:solidFill>
          </w14:textFill>
        </w:rPr>
        <w:t>功能清单</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
        <w:gridCol w:w="921"/>
        <w:gridCol w:w="1275"/>
        <w:gridCol w:w="4943"/>
        <w:gridCol w:w="659"/>
      </w:tblGrid>
      <w:tr w14:paraId="0BD6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6" w:type="pct"/>
            <w:shd w:val="clear" w:color="auto" w:fill="D8D8D8" w:themeFill="background1" w:themeFillShade="D9"/>
            <w:vAlign w:val="center"/>
          </w:tcPr>
          <w:p w14:paraId="46A2FE22">
            <w:pPr>
              <w:jc w:val="center"/>
              <w:rPr>
                <w:rFonts w:ascii="仿宋" w:hAnsi="仿宋" w:eastAsia="仿宋" w:cs="Times New Roman"/>
                <w:b/>
                <w:bCs/>
                <w:sz w:val="28"/>
                <w:szCs w:val="28"/>
                <w:lang w:eastAsia="zh-Hans"/>
              </w:rPr>
            </w:pPr>
            <w:r>
              <w:rPr>
                <w:rFonts w:hint="eastAsia" w:ascii="仿宋" w:hAnsi="仿宋" w:eastAsia="仿宋" w:cs="Times New Roman"/>
                <w:b/>
                <w:bCs/>
                <w:sz w:val="28"/>
                <w:szCs w:val="28"/>
                <w:lang w:eastAsia="zh-Hans"/>
              </w:rPr>
              <w:t>序号</w:t>
            </w:r>
          </w:p>
        </w:tc>
        <w:tc>
          <w:tcPr>
            <w:tcW w:w="559" w:type="pct"/>
            <w:shd w:val="clear" w:color="auto" w:fill="D8D8D8" w:themeFill="background1" w:themeFillShade="D9"/>
            <w:vAlign w:val="center"/>
          </w:tcPr>
          <w:p w14:paraId="16A395B3">
            <w:pPr>
              <w:jc w:val="center"/>
              <w:rPr>
                <w:rFonts w:ascii="仿宋" w:hAnsi="仿宋" w:eastAsia="仿宋" w:cs="Times New Roman"/>
                <w:b/>
                <w:bCs/>
                <w:sz w:val="28"/>
                <w:szCs w:val="28"/>
              </w:rPr>
            </w:pPr>
            <w:r>
              <w:rPr>
                <w:rFonts w:hint="eastAsia" w:ascii="仿宋" w:hAnsi="仿宋" w:eastAsia="仿宋" w:cs="Times New Roman"/>
                <w:b/>
                <w:bCs/>
                <w:sz w:val="28"/>
                <w:szCs w:val="28"/>
                <w:lang w:eastAsia="zh-Hans"/>
              </w:rPr>
              <w:t>功能分类</w:t>
            </w:r>
          </w:p>
        </w:tc>
        <w:tc>
          <w:tcPr>
            <w:tcW w:w="772" w:type="pct"/>
            <w:shd w:val="clear" w:color="auto" w:fill="D8D8D8" w:themeFill="background1" w:themeFillShade="D9"/>
            <w:vAlign w:val="center"/>
          </w:tcPr>
          <w:p w14:paraId="1CB2B00C">
            <w:pPr>
              <w:jc w:val="center"/>
              <w:rPr>
                <w:rFonts w:ascii="仿宋" w:hAnsi="仿宋" w:eastAsia="仿宋" w:cs="Times New Roman"/>
                <w:b/>
                <w:bCs/>
                <w:sz w:val="28"/>
                <w:szCs w:val="28"/>
                <w:lang w:eastAsia="zh-Hans"/>
              </w:rPr>
            </w:pPr>
            <w:r>
              <w:rPr>
                <w:rFonts w:hint="eastAsia" w:ascii="仿宋" w:hAnsi="仿宋" w:eastAsia="仿宋" w:cs="Times New Roman"/>
                <w:b/>
                <w:bCs/>
                <w:sz w:val="28"/>
                <w:szCs w:val="28"/>
                <w:lang w:eastAsia="zh-Hans"/>
              </w:rPr>
              <w:t>模块名称</w:t>
            </w:r>
          </w:p>
        </w:tc>
        <w:tc>
          <w:tcPr>
            <w:tcW w:w="2983" w:type="pct"/>
            <w:shd w:val="clear" w:color="auto" w:fill="D8D8D8" w:themeFill="background1" w:themeFillShade="D9"/>
          </w:tcPr>
          <w:p w14:paraId="3358376F">
            <w:pPr>
              <w:jc w:val="center"/>
              <w:rPr>
                <w:rFonts w:ascii="仿宋" w:hAnsi="仿宋" w:eastAsia="仿宋" w:cs="Times New Roman"/>
                <w:b/>
                <w:bCs/>
                <w:sz w:val="28"/>
                <w:szCs w:val="28"/>
              </w:rPr>
            </w:pPr>
            <w:r>
              <w:rPr>
                <w:rFonts w:hint="eastAsia" w:ascii="仿宋" w:hAnsi="仿宋" w:eastAsia="仿宋" w:cs="Times New Roman"/>
                <w:b/>
                <w:bCs/>
                <w:sz w:val="28"/>
                <w:szCs w:val="28"/>
              </w:rPr>
              <w:t>功能描述</w:t>
            </w:r>
          </w:p>
        </w:tc>
        <w:tc>
          <w:tcPr>
            <w:tcW w:w="400" w:type="pct"/>
            <w:shd w:val="clear" w:color="auto" w:fill="D8D8D8" w:themeFill="background1" w:themeFillShade="D9"/>
            <w:vAlign w:val="center"/>
          </w:tcPr>
          <w:p w14:paraId="5D5E75B1">
            <w:pPr>
              <w:jc w:val="center"/>
              <w:rPr>
                <w:rFonts w:ascii="仿宋" w:hAnsi="仿宋" w:eastAsia="仿宋" w:cs="Times New Roman"/>
                <w:b/>
                <w:bCs/>
                <w:sz w:val="28"/>
                <w:szCs w:val="28"/>
              </w:rPr>
            </w:pPr>
            <w:r>
              <w:rPr>
                <w:rFonts w:hint="eastAsia" w:ascii="仿宋" w:hAnsi="仿宋" w:eastAsia="仿宋" w:cs="Times New Roman"/>
                <w:b/>
                <w:bCs/>
                <w:sz w:val="28"/>
                <w:szCs w:val="28"/>
              </w:rPr>
              <w:t>控标</w:t>
            </w:r>
          </w:p>
        </w:tc>
      </w:tr>
      <w:tr w14:paraId="43E8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4F7C345">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1</w:t>
            </w:r>
          </w:p>
        </w:tc>
        <w:tc>
          <w:tcPr>
            <w:tcW w:w="559" w:type="pct"/>
            <w:vAlign w:val="center"/>
          </w:tcPr>
          <w:p w14:paraId="500B0296">
            <w:pPr>
              <w:jc w:val="center"/>
              <w:rPr>
                <w:rFonts w:ascii="仿宋" w:hAnsi="仿宋" w:eastAsia="仿宋" w:cs="Times New Roman"/>
                <w:sz w:val="24"/>
              </w:rPr>
            </w:pPr>
            <w:r>
              <w:rPr>
                <w:rFonts w:hint="eastAsia" w:ascii="仿宋" w:hAnsi="仿宋" w:eastAsia="仿宋" w:cs="Times New Roman"/>
                <w:sz w:val="24"/>
              </w:rPr>
              <w:t>首页</w:t>
            </w:r>
          </w:p>
        </w:tc>
        <w:tc>
          <w:tcPr>
            <w:tcW w:w="772" w:type="pct"/>
            <w:vAlign w:val="center"/>
          </w:tcPr>
          <w:p w14:paraId="516F0A22">
            <w:pPr>
              <w:rPr>
                <w:rFonts w:ascii="仿宋" w:hAnsi="仿宋" w:eastAsia="仿宋" w:cs="Times New Roman"/>
                <w:sz w:val="24"/>
              </w:rPr>
            </w:pPr>
          </w:p>
        </w:tc>
        <w:tc>
          <w:tcPr>
            <w:tcW w:w="2983" w:type="pct"/>
          </w:tcPr>
          <w:p w14:paraId="50096CAD">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按照用户权限，展示当下区域内的</w:t>
            </w:r>
            <w:commentRangeStart w:id="1"/>
            <w:r>
              <w:rPr>
                <w:rFonts w:hint="eastAsia" w:ascii="仿宋" w:hAnsi="仿宋" w:eastAsia="仿宋" w:cs="Calibri"/>
                <w:color w:val="000000" w:themeColor="text1"/>
                <w:kern w:val="0"/>
                <w:sz w:val="24"/>
                <w14:textFill>
                  <w14:solidFill>
                    <w14:schemeClr w14:val="tx1"/>
                  </w14:solidFill>
                </w14:textFill>
              </w:rPr>
              <w:t>居民情况</w:t>
            </w:r>
            <w:commentRangeEnd w:id="1"/>
            <w:r>
              <w:rPr>
                <w:rStyle w:val="10"/>
                <w:rFonts w:asciiTheme="minorHAnsi" w:hAnsiTheme="minorHAnsi" w:eastAsiaTheme="minorEastAsia" w:cstheme="minorBidi"/>
              </w:rPr>
              <w:commentReference w:id="1"/>
            </w:r>
            <w:r>
              <w:rPr>
                <w:rFonts w:hint="eastAsia" w:ascii="仿宋" w:hAnsi="仿宋" w:eastAsia="仿宋" w:cs="Calibri"/>
                <w:color w:val="000000" w:themeColor="text1"/>
                <w:kern w:val="0"/>
                <w:sz w:val="24"/>
                <w14:textFill>
                  <w14:solidFill>
                    <w14:schemeClr w14:val="tx1"/>
                  </w14:solidFill>
                </w14:textFill>
              </w:rPr>
              <w:t>。</w:t>
            </w:r>
          </w:p>
        </w:tc>
        <w:tc>
          <w:tcPr>
            <w:tcW w:w="400" w:type="pct"/>
            <w:vAlign w:val="center"/>
          </w:tcPr>
          <w:p w14:paraId="7E9F64BB">
            <w:pPr>
              <w:rPr>
                <w:rFonts w:ascii="仿宋" w:hAnsi="仿宋" w:eastAsia="仿宋" w:cs="Calibri"/>
                <w:color w:val="000000" w:themeColor="text1"/>
                <w:kern w:val="0"/>
                <w:sz w:val="24"/>
                <w14:textFill>
                  <w14:solidFill>
                    <w14:schemeClr w14:val="tx1"/>
                  </w14:solidFill>
                </w14:textFill>
              </w:rPr>
            </w:pPr>
          </w:p>
        </w:tc>
      </w:tr>
      <w:tr w14:paraId="4581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E20C1FE">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2</w:t>
            </w:r>
          </w:p>
        </w:tc>
        <w:tc>
          <w:tcPr>
            <w:tcW w:w="559" w:type="pct"/>
            <w:vMerge w:val="restart"/>
            <w:vAlign w:val="center"/>
          </w:tcPr>
          <w:p w14:paraId="19BED91C">
            <w:pPr>
              <w:jc w:val="center"/>
              <w:rPr>
                <w:rFonts w:ascii="仿宋" w:hAnsi="仿宋" w:eastAsia="仿宋" w:cs="Times New Roman"/>
                <w:sz w:val="24"/>
              </w:rPr>
            </w:pPr>
            <w:r>
              <w:rPr>
                <w:rFonts w:hint="eastAsia" w:ascii="仿宋" w:hAnsi="仿宋" w:eastAsia="仿宋" w:cs="Times New Roman"/>
                <w:sz w:val="24"/>
              </w:rPr>
              <w:t>计划提醒</w:t>
            </w:r>
          </w:p>
        </w:tc>
        <w:tc>
          <w:tcPr>
            <w:tcW w:w="772" w:type="pct"/>
            <w:vAlign w:val="center"/>
          </w:tcPr>
          <w:p w14:paraId="499BC49D">
            <w:pPr>
              <w:rPr>
                <w:rFonts w:ascii="仿宋" w:hAnsi="仿宋" w:eastAsia="仿宋" w:cs="Times New Roman"/>
                <w:sz w:val="24"/>
              </w:rPr>
            </w:pPr>
            <w:r>
              <w:rPr>
                <w:rFonts w:hint="eastAsia" w:ascii="仿宋" w:hAnsi="仿宋" w:eastAsia="仿宋" w:cs="Times New Roman"/>
                <w:sz w:val="24"/>
              </w:rPr>
              <w:t>服务计划</w:t>
            </w:r>
          </w:p>
        </w:tc>
        <w:tc>
          <w:tcPr>
            <w:tcW w:w="2983" w:type="pct"/>
          </w:tcPr>
          <w:p w14:paraId="1D74A110">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对高血压、糖尿病、肺结核、严重精神障碍、儿童、孕产妇模块的相应业务提供服务计划。</w:t>
            </w:r>
          </w:p>
        </w:tc>
        <w:tc>
          <w:tcPr>
            <w:tcW w:w="400" w:type="pct"/>
            <w:vAlign w:val="center"/>
          </w:tcPr>
          <w:p w14:paraId="6455AAA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0D43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2D0AFF8">
            <w:pPr>
              <w:rPr>
                <w:rFonts w:ascii="等线" w:hAnsi="等线" w:eastAsia="等线" w:cs="Times New Roman"/>
                <w:color w:val="000000"/>
                <w:sz w:val="22"/>
              </w:rPr>
            </w:pPr>
            <w:r>
              <w:rPr>
                <w:rFonts w:hint="eastAsia" w:ascii="等线" w:hAnsi="等线" w:eastAsia="等线" w:cs="Times New Roman"/>
                <w:color w:val="000000"/>
                <w:sz w:val="22"/>
              </w:rPr>
              <w:t>3</w:t>
            </w:r>
          </w:p>
        </w:tc>
        <w:tc>
          <w:tcPr>
            <w:tcW w:w="559" w:type="pct"/>
            <w:vMerge w:val="continue"/>
            <w:vAlign w:val="center"/>
          </w:tcPr>
          <w:p w14:paraId="0AFB93A4">
            <w:pPr>
              <w:jc w:val="center"/>
              <w:rPr>
                <w:rFonts w:ascii="仿宋" w:hAnsi="仿宋" w:eastAsia="仿宋" w:cs="Times New Roman"/>
                <w:sz w:val="24"/>
              </w:rPr>
            </w:pPr>
          </w:p>
        </w:tc>
        <w:tc>
          <w:tcPr>
            <w:tcW w:w="772" w:type="pct"/>
            <w:vAlign w:val="center"/>
          </w:tcPr>
          <w:p w14:paraId="705BA62F">
            <w:pPr>
              <w:rPr>
                <w:rFonts w:ascii="仿宋" w:hAnsi="仿宋" w:eastAsia="仿宋" w:cs="宋体"/>
                <w:kern w:val="0"/>
                <w:sz w:val="24"/>
                <w:szCs w:val="24"/>
              </w:rPr>
            </w:pPr>
            <w:r>
              <w:rPr>
                <w:rFonts w:hint="eastAsia" w:ascii="仿宋" w:hAnsi="仿宋" w:eastAsia="仿宋" w:cs="宋体"/>
                <w:kern w:val="0"/>
                <w:sz w:val="24"/>
                <w:szCs w:val="24"/>
              </w:rPr>
              <w:t>提醒管理</w:t>
            </w:r>
          </w:p>
        </w:tc>
        <w:tc>
          <w:tcPr>
            <w:tcW w:w="2983" w:type="pct"/>
          </w:tcPr>
          <w:p w14:paraId="24E11D6C">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对基层医疗就诊的患者的情况进行提醒，包含：建档提醒、更新提醒、慢病提醒、孕妇提醒、孕阻断提醒、婴阻断提醒。</w:t>
            </w:r>
          </w:p>
        </w:tc>
        <w:tc>
          <w:tcPr>
            <w:tcW w:w="400" w:type="pct"/>
            <w:vAlign w:val="center"/>
          </w:tcPr>
          <w:p w14:paraId="6B328C74">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4B37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A5A0C2A">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w:t>
            </w:r>
          </w:p>
        </w:tc>
        <w:tc>
          <w:tcPr>
            <w:tcW w:w="559" w:type="pct"/>
            <w:vMerge w:val="restart"/>
            <w:vAlign w:val="center"/>
          </w:tcPr>
          <w:p w14:paraId="1B919B66">
            <w:pPr>
              <w:jc w:val="center"/>
              <w:rPr>
                <w:rFonts w:ascii="仿宋" w:hAnsi="仿宋" w:eastAsia="仿宋" w:cs="Times New Roman"/>
                <w:sz w:val="24"/>
              </w:rPr>
            </w:pPr>
            <w:r>
              <w:rPr>
                <w:rFonts w:hint="eastAsia" w:ascii="仿宋" w:hAnsi="仿宋" w:eastAsia="仿宋" w:cs="Times New Roman"/>
                <w:sz w:val="24"/>
              </w:rPr>
              <w:t>档案管理</w:t>
            </w:r>
          </w:p>
        </w:tc>
        <w:tc>
          <w:tcPr>
            <w:tcW w:w="772" w:type="pct"/>
          </w:tcPr>
          <w:p w14:paraId="3C03605C">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居民档案</w:t>
            </w:r>
          </w:p>
        </w:tc>
        <w:tc>
          <w:tcPr>
            <w:tcW w:w="2983" w:type="pct"/>
          </w:tcPr>
          <w:p w14:paraId="0B70DBC0">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可对居民进行居民健康档案封面、个人基本信息、居民档案信息卡，死亡登记等进行管理，且居民信息使用个人档案首页进行展示。</w:t>
            </w:r>
          </w:p>
        </w:tc>
        <w:tc>
          <w:tcPr>
            <w:tcW w:w="400" w:type="pct"/>
            <w:vAlign w:val="center"/>
          </w:tcPr>
          <w:p w14:paraId="261D4043">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03DD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A4E1817">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w:t>
            </w:r>
          </w:p>
        </w:tc>
        <w:tc>
          <w:tcPr>
            <w:tcW w:w="559" w:type="pct"/>
            <w:vMerge w:val="continue"/>
            <w:vAlign w:val="center"/>
          </w:tcPr>
          <w:p w14:paraId="50FF2983">
            <w:pPr>
              <w:jc w:val="center"/>
              <w:rPr>
                <w:rFonts w:ascii="仿宋" w:hAnsi="仿宋" w:eastAsia="仿宋" w:cs="Times New Roman"/>
                <w:sz w:val="24"/>
              </w:rPr>
            </w:pPr>
          </w:p>
        </w:tc>
        <w:tc>
          <w:tcPr>
            <w:tcW w:w="772" w:type="pct"/>
          </w:tcPr>
          <w:p w14:paraId="67E85A6F">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家庭档案</w:t>
            </w:r>
          </w:p>
        </w:tc>
        <w:tc>
          <w:tcPr>
            <w:tcW w:w="2983" w:type="pct"/>
          </w:tcPr>
          <w:p w14:paraId="55E2AE29">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对居民的家庭基本信息、家庭成员、精准扶贫进行管理。</w:t>
            </w:r>
          </w:p>
        </w:tc>
        <w:tc>
          <w:tcPr>
            <w:tcW w:w="400" w:type="pct"/>
            <w:vAlign w:val="center"/>
          </w:tcPr>
          <w:p w14:paraId="1C8A61FE">
            <w:pPr>
              <w:rPr>
                <w:rFonts w:ascii="仿宋" w:hAnsi="仿宋" w:eastAsia="仿宋" w:cs="Calibri"/>
                <w:color w:val="000000" w:themeColor="text1"/>
                <w:kern w:val="0"/>
                <w:sz w:val="24"/>
                <w14:textFill>
                  <w14:solidFill>
                    <w14:schemeClr w14:val="tx1"/>
                  </w14:solidFill>
                </w14:textFill>
              </w:rPr>
            </w:pPr>
          </w:p>
        </w:tc>
      </w:tr>
      <w:tr w14:paraId="78F4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2BD1A56">
            <w:pPr>
              <w:rPr>
                <w:rFonts w:ascii="等线" w:hAnsi="等线" w:eastAsia="等线" w:cs="Times New Roman"/>
                <w:color w:val="000000"/>
                <w:sz w:val="22"/>
              </w:rPr>
            </w:pPr>
            <w:r>
              <w:rPr>
                <w:rFonts w:hint="eastAsia" w:ascii="等线" w:hAnsi="等线" w:eastAsia="等线" w:cs="Times New Roman"/>
                <w:color w:val="000000"/>
                <w:sz w:val="22"/>
              </w:rPr>
              <w:t>6</w:t>
            </w:r>
          </w:p>
        </w:tc>
        <w:tc>
          <w:tcPr>
            <w:tcW w:w="559" w:type="pct"/>
            <w:vMerge w:val="continue"/>
            <w:vAlign w:val="center"/>
          </w:tcPr>
          <w:p w14:paraId="3BA84449">
            <w:pPr>
              <w:jc w:val="center"/>
              <w:rPr>
                <w:rFonts w:ascii="仿宋" w:hAnsi="仿宋" w:eastAsia="仿宋" w:cs="Times New Roman"/>
                <w:sz w:val="24"/>
              </w:rPr>
            </w:pPr>
          </w:p>
        </w:tc>
        <w:tc>
          <w:tcPr>
            <w:tcW w:w="772" w:type="pct"/>
          </w:tcPr>
          <w:p w14:paraId="415085B4">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健康体检</w:t>
            </w:r>
          </w:p>
        </w:tc>
        <w:tc>
          <w:tcPr>
            <w:tcW w:w="2983" w:type="pct"/>
          </w:tcPr>
          <w:p w14:paraId="54EA3864">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对居民的高血压体检、糖尿病体检、一般居民体检、健康体检进行管理。</w:t>
            </w:r>
          </w:p>
        </w:tc>
        <w:tc>
          <w:tcPr>
            <w:tcW w:w="400" w:type="pct"/>
            <w:vAlign w:val="center"/>
          </w:tcPr>
          <w:p w14:paraId="3882474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0A77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71185B9">
            <w:pPr>
              <w:rPr>
                <w:rFonts w:ascii="等线" w:hAnsi="等线" w:eastAsia="等线" w:cs="Times New Roman"/>
                <w:color w:val="000000"/>
                <w:sz w:val="22"/>
              </w:rPr>
            </w:pPr>
            <w:r>
              <w:rPr>
                <w:rFonts w:hint="eastAsia" w:ascii="等线" w:hAnsi="等线" w:eastAsia="等线" w:cs="Times New Roman"/>
                <w:color w:val="000000"/>
                <w:sz w:val="22"/>
              </w:rPr>
              <w:t>7</w:t>
            </w:r>
          </w:p>
        </w:tc>
        <w:tc>
          <w:tcPr>
            <w:tcW w:w="559" w:type="pct"/>
            <w:vMerge w:val="continue"/>
            <w:vAlign w:val="center"/>
          </w:tcPr>
          <w:p w14:paraId="1643C627">
            <w:pPr>
              <w:jc w:val="center"/>
              <w:rPr>
                <w:rFonts w:ascii="仿宋" w:hAnsi="仿宋" w:eastAsia="仿宋" w:cs="Times New Roman"/>
                <w:sz w:val="24"/>
              </w:rPr>
            </w:pPr>
          </w:p>
        </w:tc>
        <w:tc>
          <w:tcPr>
            <w:tcW w:w="772" w:type="pct"/>
          </w:tcPr>
          <w:p w14:paraId="411585A2">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残疾档案</w:t>
            </w:r>
          </w:p>
        </w:tc>
        <w:tc>
          <w:tcPr>
            <w:tcW w:w="2983" w:type="pct"/>
          </w:tcPr>
          <w:p w14:paraId="319D0EE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对居民的残疾情况进行登记管理，并伴随对应的随访管理。</w:t>
            </w:r>
          </w:p>
        </w:tc>
        <w:tc>
          <w:tcPr>
            <w:tcW w:w="400" w:type="pct"/>
            <w:vAlign w:val="center"/>
          </w:tcPr>
          <w:p w14:paraId="7152A456">
            <w:pPr>
              <w:rPr>
                <w:rFonts w:ascii="仿宋" w:hAnsi="仿宋" w:eastAsia="仿宋" w:cs="Calibri"/>
                <w:color w:val="000000" w:themeColor="text1"/>
                <w:kern w:val="0"/>
                <w:sz w:val="24"/>
                <w14:textFill>
                  <w14:solidFill>
                    <w14:schemeClr w14:val="tx1"/>
                  </w14:solidFill>
                </w14:textFill>
              </w:rPr>
            </w:pPr>
          </w:p>
        </w:tc>
      </w:tr>
      <w:tr w14:paraId="71AD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DAAB003">
            <w:pPr>
              <w:rPr>
                <w:rFonts w:ascii="等线" w:hAnsi="等线" w:eastAsia="等线" w:cs="Times New Roman"/>
                <w:color w:val="000000"/>
                <w:sz w:val="22"/>
              </w:rPr>
            </w:pPr>
            <w:r>
              <w:rPr>
                <w:rFonts w:hint="eastAsia" w:ascii="等线" w:hAnsi="等线" w:eastAsia="等线" w:cs="Times New Roman"/>
                <w:color w:val="000000"/>
                <w:sz w:val="22"/>
              </w:rPr>
              <w:t>8</w:t>
            </w:r>
          </w:p>
        </w:tc>
        <w:tc>
          <w:tcPr>
            <w:tcW w:w="559" w:type="pct"/>
            <w:vMerge w:val="continue"/>
            <w:vAlign w:val="center"/>
          </w:tcPr>
          <w:p w14:paraId="582F3270">
            <w:pPr>
              <w:jc w:val="center"/>
              <w:rPr>
                <w:rFonts w:ascii="仿宋" w:hAnsi="仿宋" w:eastAsia="仿宋" w:cs="Times New Roman"/>
                <w:sz w:val="24"/>
              </w:rPr>
            </w:pPr>
          </w:p>
        </w:tc>
        <w:tc>
          <w:tcPr>
            <w:tcW w:w="772" w:type="pct"/>
          </w:tcPr>
          <w:p w14:paraId="25AEDA3E">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档案迁移</w:t>
            </w:r>
          </w:p>
        </w:tc>
        <w:tc>
          <w:tcPr>
            <w:tcW w:w="2983" w:type="pct"/>
          </w:tcPr>
          <w:p w14:paraId="09217FDD">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对需要进行档案迁移的居民进行管理，可进行档案迁出和档案迁入操作。</w:t>
            </w:r>
          </w:p>
        </w:tc>
        <w:tc>
          <w:tcPr>
            <w:tcW w:w="400" w:type="pct"/>
            <w:vAlign w:val="center"/>
          </w:tcPr>
          <w:p w14:paraId="65330757">
            <w:pPr>
              <w:rPr>
                <w:rFonts w:ascii="仿宋" w:hAnsi="仿宋" w:eastAsia="仿宋" w:cs="Calibri"/>
                <w:color w:val="000000" w:themeColor="text1"/>
                <w:kern w:val="0"/>
                <w:sz w:val="24"/>
                <w14:textFill>
                  <w14:solidFill>
                    <w14:schemeClr w14:val="tx1"/>
                  </w14:solidFill>
                </w14:textFill>
              </w:rPr>
            </w:pPr>
          </w:p>
        </w:tc>
      </w:tr>
      <w:tr w14:paraId="001A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5468880">
            <w:pPr>
              <w:rPr>
                <w:rFonts w:ascii="等线" w:hAnsi="等线" w:eastAsia="等线" w:cs="Times New Roman"/>
                <w:color w:val="000000"/>
                <w:sz w:val="22"/>
              </w:rPr>
            </w:pPr>
            <w:r>
              <w:rPr>
                <w:rFonts w:hint="eastAsia" w:ascii="等线" w:hAnsi="等线" w:eastAsia="等线" w:cs="Times New Roman"/>
                <w:color w:val="000000"/>
                <w:sz w:val="22"/>
              </w:rPr>
              <w:t>9</w:t>
            </w:r>
          </w:p>
        </w:tc>
        <w:tc>
          <w:tcPr>
            <w:tcW w:w="559" w:type="pct"/>
            <w:vMerge w:val="continue"/>
            <w:vAlign w:val="center"/>
          </w:tcPr>
          <w:p w14:paraId="5DEF877E">
            <w:pPr>
              <w:jc w:val="center"/>
              <w:rPr>
                <w:rFonts w:ascii="仿宋" w:hAnsi="仿宋" w:eastAsia="仿宋" w:cs="Times New Roman"/>
                <w:sz w:val="24"/>
              </w:rPr>
            </w:pPr>
          </w:p>
        </w:tc>
        <w:tc>
          <w:tcPr>
            <w:tcW w:w="772" w:type="pct"/>
          </w:tcPr>
          <w:p w14:paraId="492DC351">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迁移审核</w:t>
            </w:r>
          </w:p>
        </w:tc>
        <w:tc>
          <w:tcPr>
            <w:tcW w:w="2983" w:type="pct"/>
          </w:tcPr>
          <w:p w14:paraId="627033F4">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针对需要审核的迁移，需进行迁入审核和迁出审核后，档案才能完成迁移。</w:t>
            </w:r>
          </w:p>
        </w:tc>
        <w:tc>
          <w:tcPr>
            <w:tcW w:w="400" w:type="pct"/>
            <w:vAlign w:val="center"/>
          </w:tcPr>
          <w:p w14:paraId="0585FBD3">
            <w:pPr>
              <w:rPr>
                <w:rFonts w:ascii="仿宋" w:hAnsi="仿宋" w:eastAsia="仿宋" w:cs="Calibri"/>
                <w:color w:val="000000" w:themeColor="text1"/>
                <w:kern w:val="0"/>
                <w:sz w:val="24"/>
                <w14:textFill>
                  <w14:solidFill>
                    <w14:schemeClr w14:val="tx1"/>
                  </w14:solidFill>
                </w14:textFill>
              </w:rPr>
            </w:pPr>
          </w:p>
        </w:tc>
      </w:tr>
      <w:tr w14:paraId="2E63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63604A4">
            <w:pPr>
              <w:rPr>
                <w:rFonts w:ascii="等线" w:hAnsi="等线" w:eastAsia="等线" w:cs="Times New Roman"/>
                <w:color w:val="000000"/>
                <w:sz w:val="22"/>
              </w:rPr>
            </w:pPr>
            <w:r>
              <w:rPr>
                <w:rFonts w:hint="eastAsia" w:ascii="等线" w:hAnsi="等线" w:eastAsia="等线" w:cs="Times New Roman"/>
                <w:color w:val="000000"/>
                <w:sz w:val="22"/>
              </w:rPr>
              <w:t>10</w:t>
            </w:r>
          </w:p>
        </w:tc>
        <w:tc>
          <w:tcPr>
            <w:tcW w:w="559" w:type="pct"/>
            <w:vMerge w:val="continue"/>
            <w:vAlign w:val="center"/>
          </w:tcPr>
          <w:p w14:paraId="715CF293">
            <w:pPr>
              <w:jc w:val="center"/>
              <w:rPr>
                <w:rFonts w:ascii="仿宋" w:hAnsi="仿宋" w:eastAsia="仿宋" w:cs="Times New Roman"/>
                <w:sz w:val="24"/>
              </w:rPr>
            </w:pPr>
          </w:p>
        </w:tc>
        <w:tc>
          <w:tcPr>
            <w:tcW w:w="772" w:type="pct"/>
          </w:tcPr>
          <w:p w14:paraId="15D2D9EE">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档案恢复</w:t>
            </w:r>
          </w:p>
        </w:tc>
        <w:tc>
          <w:tcPr>
            <w:tcW w:w="2983" w:type="pct"/>
          </w:tcPr>
          <w:p w14:paraId="5F90D8F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对于和业务相关的删除的档案，删除后可进行恢复。</w:t>
            </w:r>
          </w:p>
        </w:tc>
        <w:tc>
          <w:tcPr>
            <w:tcW w:w="400" w:type="pct"/>
            <w:vAlign w:val="center"/>
          </w:tcPr>
          <w:p w14:paraId="52E17571">
            <w:pPr>
              <w:rPr>
                <w:rFonts w:ascii="仿宋" w:hAnsi="仿宋" w:eastAsia="仿宋" w:cs="Calibri"/>
                <w:color w:val="000000" w:themeColor="text1"/>
                <w:kern w:val="0"/>
                <w:sz w:val="24"/>
                <w14:textFill>
                  <w14:solidFill>
                    <w14:schemeClr w14:val="tx1"/>
                  </w14:solidFill>
                </w14:textFill>
              </w:rPr>
            </w:pPr>
          </w:p>
        </w:tc>
      </w:tr>
      <w:tr w14:paraId="5AAB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714F8B4">
            <w:pPr>
              <w:rPr>
                <w:rFonts w:ascii="等线" w:hAnsi="等线" w:eastAsia="等线" w:cs="Times New Roman"/>
                <w:color w:val="000000"/>
                <w:sz w:val="22"/>
              </w:rPr>
            </w:pPr>
            <w:r>
              <w:rPr>
                <w:rFonts w:hint="eastAsia" w:ascii="等线" w:hAnsi="等线" w:eastAsia="等线" w:cs="Times New Roman"/>
                <w:color w:val="000000"/>
                <w:sz w:val="22"/>
              </w:rPr>
              <w:t>11</w:t>
            </w:r>
          </w:p>
        </w:tc>
        <w:tc>
          <w:tcPr>
            <w:tcW w:w="559" w:type="pct"/>
            <w:vMerge w:val="continue"/>
            <w:vAlign w:val="center"/>
          </w:tcPr>
          <w:p w14:paraId="4A95B488">
            <w:pPr>
              <w:jc w:val="center"/>
              <w:rPr>
                <w:rFonts w:ascii="仿宋" w:hAnsi="仿宋" w:eastAsia="仿宋" w:cs="Times New Roman"/>
                <w:sz w:val="24"/>
              </w:rPr>
            </w:pPr>
          </w:p>
        </w:tc>
        <w:tc>
          <w:tcPr>
            <w:tcW w:w="772" w:type="pct"/>
          </w:tcPr>
          <w:p w14:paraId="6C3BA683">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档案查阅记录</w:t>
            </w:r>
          </w:p>
        </w:tc>
        <w:tc>
          <w:tcPr>
            <w:tcW w:w="2983" w:type="pct"/>
          </w:tcPr>
          <w:p w14:paraId="28E537C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对于外部调阅公卫的用户，会产生对应的调阅记录。</w:t>
            </w:r>
          </w:p>
        </w:tc>
        <w:tc>
          <w:tcPr>
            <w:tcW w:w="400" w:type="pct"/>
            <w:vAlign w:val="center"/>
          </w:tcPr>
          <w:p w14:paraId="7C9AD35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7D02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9350BEF">
            <w:pPr>
              <w:rPr>
                <w:rFonts w:ascii="等线" w:hAnsi="等线" w:eastAsia="等线" w:cs="Times New Roman"/>
                <w:color w:val="000000"/>
                <w:sz w:val="22"/>
              </w:rPr>
            </w:pPr>
            <w:r>
              <w:rPr>
                <w:rFonts w:hint="eastAsia" w:ascii="等线" w:hAnsi="等线" w:eastAsia="等线" w:cs="Times New Roman"/>
                <w:color w:val="000000"/>
                <w:sz w:val="22"/>
              </w:rPr>
              <w:t>12</w:t>
            </w:r>
          </w:p>
        </w:tc>
        <w:tc>
          <w:tcPr>
            <w:tcW w:w="559" w:type="pct"/>
            <w:vMerge w:val="restart"/>
            <w:vAlign w:val="center"/>
          </w:tcPr>
          <w:p w14:paraId="731797FA">
            <w:pPr>
              <w:jc w:val="center"/>
              <w:rPr>
                <w:rFonts w:ascii="仿宋" w:hAnsi="仿宋" w:eastAsia="仿宋" w:cs="Times New Roman"/>
                <w:sz w:val="24"/>
              </w:rPr>
            </w:pPr>
            <w:r>
              <w:rPr>
                <w:rFonts w:hint="eastAsia" w:ascii="仿宋" w:hAnsi="仿宋" w:eastAsia="仿宋" w:cs="Times New Roman"/>
                <w:sz w:val="24"/>
              </w:rPr>
              <w:t>慢病管理</w:t>
            </w:r>
          </w:p>
        </w:tc>
        <w:tc>
          <w:tcPr>
            <w:tcW w:w="772" w:type="pct"/>
          </w:tcPr>
          <w:p w14:paraId="6B2E4EF3">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高血压管理</w:t>
            </w:r>
          </w:p>
        </w:tc>
        <w:tc>
          <w:tcPr>
            <w:tcW w:w="2983" w:type="pct"/>
          </w:tcPr>
          <w:p w14:paraId="56FA2BE2">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对患有高血压的患者进行高血压专项、高血压随访、高血压评估方面的管理。</w:t>
            </w:r>
          </w:p>
        </w:tc>
        <w:tc>
          <w:tcPr>
            <w:tcW w:w="400" w:type="pct"/>
            <w:vAlign w:val="center"/>
          </w:tcPr>
          <w:p w14:paraId="5672610E">
            <w:pPr>
              <w:rPr>
                <w:rFonts w:ascii="仿宋" w:hAnsi="仿宋" w:eastAsia="仿宋" w:cs="Calibri"/>
                <w:color w:val="000000" w:themeColor="text1"/>
                <w:kern w:val="0"/>
                <w:sz w:val="24"/>
                <w14:textFill>
                  <w14:solidFill>
                    <w14:schemeClr w14:val="tx1"/>
                  </w14:solidFill>
                </w14:textFill>
              </w:rPr>
            </w:pPr>
          </w:p>
        </w:tc>
      </w:tr>
      <w:tr w14:paraId="571B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14F80DC">
            <w:pPr>
              <w:rPr>
                <w:rFonts w:ascii="等线" w:hAnsi="等线" w:eastAsia="等线" w:cs="Times New Roman"/>
                <w:color w:val="000000"/>
                <w:sz w:val="22"/>
              </w:rPr>
            </w:pPr>
            <w:r>
              <w:rPr>
                <w:rFonts w:hint="eastAsia" w:ascii="等线" w:hAnsi="等线" w:eastAsia="等线" w:cs="Times New Roman"/>
                <w:color w:val="000000"/>
                <w:sz w:val="22"/>
              </w:rPr>
              <w:t>13</w:t>
            </w:r>
          </w:p>
        </w:tc>
        <w:tc>
          <w:tcPr>
            <w:tcW w:w="559" w:type="pct"/>
            <w:vMerge w:val="continue"/>
            <w:vAlign w:val="center"/>
          </w:tcPr>
          <w:p w14:paraId="420F5402">
            <w:pPr>
              <w:jc w:val="center"/>
              <w:rPr>
                <w:rFonts w:ascii="仿宋" w:hAnsi="仿宋" w:eastAsia="仿宋" w:cs="Times New Roman"/>
                <w:sz w:val="24"/>
              </w:rPr>
            </w:pPr>
          </w:p>
        </w:tc>
        <w:tc>
          <w:tcPr>
            <w:tcW w:w="772" w:type="pct"/>
          </w:tcPr>
          <w:p w14:paraId="6116B3A1">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糖尿病管理</w:t>
            </w:r>
          </w:p>
        </w:tc>
        <w:tc>
          <w:tcPr>
            <w:tcW w:w="2983" w:type="pct"/>
          </w:tcPr>
          <w:p w14:paraId="0304927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对患有2型糖尿病的患者进行糖尿病专项、糖尿病随访、糖尿病评估方面的管理。</w:t>
            </w:r>
          </w:p>
        </w:tc>
        <w:tc>
          <w:tcPr>
            <w:tcW w:w="400" w:type="pct"/>
            <w:vAlign w:val="center"/>
          </w:tcPr>
          <w:p w14:paraId="6174C0F7">
            <w:pPr>
              <w:rPr>
                <w:rFonts w:ascii="仿宋" w:hAnsi="仿宋" w:eastAsia="仿宋" w:cs="Calibri"/>
                <w:color w:val="000000" w:themeColor="text1"/>
                <w:kern w:val="0"/>
                <w:sz w:val="24"/>
                <w14:textFill>
                  <w14:solidFill>
                    <w14:schemeClr w14:val="tx1"/>
                  </w14:solidFill>
                </w14:textFill>
              </w:rPr>
            </w:pPr>
          </w:p>
        </w:tc>
      </w:tr>
      <w:tr w14:paraId="3F1C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77F2D95">
            <w:pPr>
              <w:rPr>
                <w:rFonts w:ascii="等线" w:hAnsi="等线" w:eastAsia="等线" w:cs="Times New Roman"/>
                <w:color w:val="000000"/>
                <w:sz w:val="22"/>
              </w:rPr>
            </w:pPr>
            <w:r>
              <w:rPr>
                <w:rFonts w:hint="eastAsia" w:ascii="等线" w:hAnsi="等线" w:eastAsia="等线" w:cs="Times New Roman"/>
                <w:color w:val="000000"/>
                <w:sz w:val="22"/>
              </w:rPr>
              <w:t>14</w:t>
            </w:r>
          </w:p>
        </w:tc>
        <w:tc>
          <w:tcPr>
            <w:tcW w:w="559" w:type="pct"/>
            <w:vMerge w:val="continue"/>
            <w:vAlign w:val="center"/>
          </w:tcPr>
          <w:p w14:paraId="55047BE1">
            <w:pPr>
              <w:jc w:val="center"/>
              <w:rPr>
                <w:rFonts w:ascii="仿宋" w:hAnsi="仿宋" w:eastAsia="仿宋" w:cs="Times New Roman"/>
                <w:sz w:val="24"/>
              </w:rPr>
            </w:pPr>
          </w:p>
        </w:tc>
        <w:tc>
          <w:tcPr>
            <w:tcW w:w="772" w:type="pct"/>
          </w:tcPr>
          <w:p w14:paraId="28113CE8">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高血脂管理</w:t>
            </w:r>
          </w:p>
        </w:tc>
        <w:tc>
          <w:tcPr>
            <w:tcW w:w="2983" w:type="pct"/>
          </w:tcPr>
          <w:p w14:paraId="7EFF406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对患有高血脂的患者进行高血脂专项、高血脂随访方面的管理。</w:t>
            </w:r>
          </w:p>
        </w:tc>
        <w:tc>
          <w:tcPr>
            <w:tcW w:w="400" w:type="pct"/>
            <w:vAlign w:val="center"/>
          </w:tcPr>
          <w:p w14:paraId="2157C48F">
            <w:pPr>
              <w:rPr>
                <w:rFonts w:ascii="仿宋" w:hAnsi="仿宋" w:eastAsia="仿宋" w:cs="Calibri"/>
                <w:color w:val="000000" w:themeColor="text1"/>
                <w:kern w:val="0"/>
                <w:sz w:val="24"/>
                <w14:textFill>
                  <w14:solidFill>
                    <w14:schemeClr w14:val="tx1"/>
                  </w14:solidFill>
                </w14:textFill>
              </w:rPr>
            </w:pPr>
          </w:p>
        </w:tc>
      </w:tr>
      <w:tr w14:paraId="4C4E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430EFBE8">
            <w:pPr>
              <w:rPr>
                <w:rFonts w:ascii="等线" w:hAnsi="等线" w:eastAsia="等线" w:cs="Times New Roman"/>
                <w:color w:val="000000"/>
                <w:sz w:val="22"/>
              </w:rPr>
            </w:pPr>
            <w:r>
              <w:rPr>
                <w:rFonts w:hint="eastAsia" w:ascii="等线" w:hAnsi="等线" w:eastAsia="等线" w:cs="Times New Roman"/>
                <w:color w:val="000000"/>
                <w:sz w:val="22"/>
              </w:rPr>
              <w:t>15</w:t>
            </w:r>
          </w:p>
        </w:tc>
        <w:tc>
          <w:tcPr>
            <w:tcW w:w="559" w:type="pct"/>
            <w:vMerge w:val="continue"/>
            <w:vAlign w:val="center"/>
          </w:tcPr>
          <w:p w14:paraId="30E2DE6E">
            <w:pPr>
              <w:jc w:val="center"/>
              <w:rPr>
                <w:rFonts w:ascii="仿宋" w:hAnsi="仿宋" w:eastAsia="仿宋" w:cs="Times New Roman"/>
                <w:sz w:val="24"/>
              </w:rPr>
            </w:pPr>
          </w:p>
        </w:tc>
        <w:tc>
          <w:tcPr>
            <w:tcW w:w="772" w:type="pct"/>
          </w:tcPr>
          <w:p w14:paraId="0A7BF210">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肿瘤管理</w:t>
            </w:r>
          </w:p>
        </w:tc>
        <w:tc>
          <w:tcPr>
            <w:tcW w:w="2983" w:type="pct"/>
          </w:tcPr>
          <w:p w14:paraId="7944D40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对患有肿瘤的患者进行肿瘤专项、肿瘤随访方面的管理。</w:t>
            </w:r>
          </w:p>
        </w:tc>
        <w:tc>
          <w:tcPr>
            <w:tcW w:w="400" w:type="pct"/>
            <w:vAlign w:val="center"/>
          </w:tcPr>
          <w:p w14:paraId="6087943E">
            <w:pPr>
              <w:rPr>
                <w:rFonts w:ascii="仿宋" w:hAnsi="仿宋" w:eastAsia="仿宋" w:cs="Calibri"/>
                <w:color w:val="000000" w:themeColor="text1"/>
                <w:kern w:val="0"/>
                <w:sz w:val="24"/>
                <w14:textFill>
                  <w14:solidFill>
                    <w14:schemeClr w14:val="tx1"/>
                  </w14:solidFill>
                </w14:textFill>
              </w:rPr>
            </w:pPr>
          </w:p>
        </w:tc>
      </w:tr>
      <w:tr w14:paraId="4377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7127585">
            <w:pPr>
              <w:rPr>
                <w:rFonts w:ascii="等线" w:hAnsi="等线" w:eastAsia="等线" w:cs="Times New Roman"/>
                <w:color w:val="000000"/>
                <w:sz w:val="22"/>
              </w:rPr>
            </w:pPr>
            <w:r>
              <w:rPr>
                <w:rFonts w:hint="eastAsia" w:ascii="等线" w:hAnsi="等线" w:eastAsia="等线" w:cs="Times New Roman"/>
                <w:color w:val="000000"/>
                <w:sz w:val="22"/>
              </w:rPr>
              <w:t>16</w:t>
            </w:r>
          </w:p>
        </w:tc>
        <w:tc>
          <w:tcPr>
            <w:tcW w:w="559" w:type="pct"/>
            <w:vMerge w:val="continue"/>
            <w:vAlign w:val="center"/>
          </w:tcPr>
          <w:p w14:paraId="0A3338F9">
            <w:pPr>
              <w:jc w:val="center"/>
              <w:rPr>
                <w:rFonts w:ascii="仿宋" w:hAnsi="仿宋" w:eastAsia="仿宋" w:cs="Times New Roman"/>
                <w:sz w:val="24"/>
              </w:rPr>
            </w:pPr>
          </w:p>
        </w:tc>
        <w:tc>
          <w:tcPr>
            <w:tcW w:w="772" w:type="pct"/>
          </w:tcPr>
          <w:p w14:paraId="6A1D7123">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心脑血管管理</w:t>
            </w:r>
          </w:p>
        </w:tc>
        <w:tc>
          <w:tcPr>
            <w:tcW w:w="2983" w:type="pct"/>
          </w:tcPr>
          <w:p w14:paraId="7DE93D9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对患有心脑血管的患者进行心脑血管专项、心脑血管随访方面的管理。</w:t>
            </w:r>
          </w:p>
        </w:tc>
        <w:tc>
          <w:tcPr>
            <w:tcW w:w="400" w:type="pct"/>
            <w:vAlign w:val="center"/>
          </w:tcPr>
          <w:p w14:paraId="77EC68A6">
            <w:pPr>
              <w:rPr>
                <w:rFonts w:ascii="仿宋" w:hAnsi="仿宋" w:eastAsia="仿宋" w:cs="Calibri"/>
                <w:color w:val="000000" w:themeColor="text1"/>
                <w:kern w:val="0"/>
                <w:sz w:val="24"/>
                <w14:textFill>
                  <w14:solidFill>
                    <w14:schemeClr w14:val="tx1"/>
                  </w14:solidFill>
                </w14:textFill>
              </w:rPr>
            </w:pPr>
          </w:p>
        </w:tc>
      </w:tr>
      <w:tr w14:paraId="4413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50DD564">
            <w:pPr>
              <w:rPr>
                <w:rFonts w:ascii="等线" w:hAnsi="等线" w:eastAsia="等线" w:cs="Times New Roman"/>
                <w:color w:val="000000"/>
                <w:sz w:val="22"/>
              </w:rPr>
            </w:pPr>
            <w:r>
              <w:rPr>
                <w:rFonts w:hint="eastAsia" w:ascii="等线" w:hAnsi="等线" w:eastAsia="等线" w:cs="Times New Roman"/>
                <w:color w:val="000000"/>
                <w:sz w:val="22"/>
              </w:rPr>
              <w:t>17</w:t>
            </w:r>
          </w:p>
        </w:tc>
        <w:tc>
          <w:tcPr>
            <w:tcW w:w="559" w:type="pct"/>
            <w:vMerge w:val="continue"/>
            <w:vAlign w:val="center"/>
          </w:tcPr>
          <w:p w14:paraId="1EC0336C">
            <w:pPr>
              <w:jc w:val="center"/>
              <w:rPr>
                <w:rFonts w:ascii="仿宋" w:hAnsi="仿宋" w:eastAsia="仿宋" w:cs="Times New Roman"/>
                <w:sz w:val="24"/>
              </w:rPr>
            </w:pPr>
          </w:p>
        </w:tc>
        <w:tc>
          <w:tcPr>
            <w:tcW w:w="772" w:type="pct"/>
          </w:tcPr>
          <w:p w14:paraId="4E8184C2">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慢阻肺管理</w:t>
            </w:r>
          </w:p>
        </w:tc>
        <w:tc>
          <w:tcPr>
            <w:tcW w:w="2983" w:type="pct"/>
          </w:tcPr>
          <w:p w14:paraId="72913D4D">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对患有慢阻肺的患者进行慢阻肺专项、慢阻肺随访方面的管理。</w:t>
            </w:r>
          </w:p>
        </w:tc>
        <w:tc>
          <w:tcPr>
            <w:tcW w:w="400" w:type="pct"/>
            <w:vAlign w:val="center"/>
          </w:tcPr>
          <w:p w14:paraId="48E9955A">
            <w:pPr>
              <w:rPr>
                <w:rFonts w:ascii="仿宋" w:hAnsi="仿宋" w:eastAsia="仿宋" w:cs="Calibri"/>
                <w:color w:val="000000" w:themeColor="text1"/>
                <w:kern w:val="0"/>
                <w:sz w:val="24"/>
                <w14:textFill>
                  <w14:solidFill>
                    <w14:schemeClr w14:val="tx1"/>
                  </w14:solidFill>
                </w14:textFill>
              </w:rPr>
            </w:pPr>
          </w:p>
        </w:tc>
      </w:tr>
      <w:tr w14:paraId="4B92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506ADA7">
            <w:pPr>
              <w:rPr>
                <w:rFonts w:ascii="等线" w:hAnsi="等线" w:eastAsia="等线" w:cs="Times New Roman"/>
                <w:color w:val="000000"/>
                <w:sz w:val="22"/>
              </w:rPr>
            </w:pPr>
            <w:r>
              <w:rPr>
                <w:rFonts w:hint="eastAsia" w:ascii="等线" w:hAnsi="等线" w:eastAsia="等线" w:cs="Times New Roman"/>
                <w:color w:val="000000"/>
                <w:sz w:val="22"/>
              </w:rPr>
              <w:t>18</w:t>
            </w:r>
          </w:p>
        </w:tc>
        <w:tc>
          <w:tcPr>
            <w:tcW w:w="559" w:type="pct"/>
            <w:vMerge w:val="continue"/>
            <w:vAlign w:val="center"/>
          </w:tcPr>
          <w:p w14:paraId="5C40AB92">
            <w:pPr>
              <w:jc w:val="center"/>
              <w:rPr>
                <w:rFonts w:ascii="仿宋" w:hAnsi="仿宋" w:eastAsia="仿宋" w:cs="Times New Roman"/>
                <w:sz w:val="24"/>
              </w:rPr>
            </w:pPr>
          </w:p>
        </w:tc>
        <w:tc>
          <w:tcPr>
            <w:tcW w:w="772" w:type="pct"/>
          </w:tcPr>
          <w:p w14:paraId="3802D9F4">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高危人群管理</w:t>
            </w:r>
          </w:p>
        </w:tc>
        <w:tc>
          <w:tcPr>
            <w:tcW w:w="2983" w:type="pct"/>
          </w:tcPr>
          <w:p w14:paraId="4D12256D">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对诊断为高危的患者进行高危专项、高危随访方面的管理。</w:t>
            </w:r>
          </w:p>
        </w:tc>
        <w:tc>
          <w:tcPr>
            <w:tcW w:w="400" w:type="pct"/>
            <w:vAlign w:val="center"/>
          </w:tcPr>
          <w:p w14:paraId="4C329532">
            <w:pPr>
              <w:rPr>
                <w:rFonts w:ascii="仿宋" w:hAnsi="仿宋" w:eastAsia="仿宋" w:cs="Calibri"/>
                <w:color w:val="000000" w:themeColor="text1"/>
                <w:kern w:val="0"/>
                <w:sz w:val="24"/>
                <w14:textFill>
                  <w14:solidFill>
                    <w14:schemeClr w14:val="tx1"/>
                  </w14:solidFill>
                </w14:textFill>
              </w:rPr>
            </w:pPr>
          </w:p>
        </w:tc>
      </w:tr>
      <w:tr w14:paraId="69E8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732303F">
            <w:pPr>
              <w:rPr>
                <w:rFonts w:ascii="等线" w:hAnsi="等线" w:eastAsia="等线" w:cs="Times New Roman"/>
                <w:color w:val="000000"/>
                <w:sz w:val="22"/>
              </w:rPr>
            </w:pPr>
            <w:r>
              <w:rPr>
                <w:rFonts w:hint="eastAsia" w:ascii="等线" w:hAnsi="等线" w:eastAsia="等线" w:cs="Times New Roman"/>
                <w:color w:val="000000"/>
                <w:sz w:val="22"/>
              </w:rPr>
              <w:t>19</w:t>
            </w:r>
          </w:p>
        </w:tc>
        <w:tc>
          <w:tcPr>
            <w:tcW w:w="559" w:type="pct"/>
            <w:vAlign w:val="center"/>
          </w:tcPr>
          <w:p w14:paraId="7B71AE36">
            <w:pPr>
              <w:jc w:val="center"/>
              <w:rPr>
                <w:rFonts w:ascii="仿宋" w:hAnsi="仿宋" w:eastAsia="仿宋" w:cs="Times New Roman"/>
                <w:sz w:val="24"/>
              </w:rPr>
            </w:pPr>
            <w:r>
              <w:rPr>
                <w:rFonts w:hint="eastAsia" w:ascii="仿宋" w:hAnsi="仿宋" w:eastAsia="仿宋" w:cs="Times New Roman"/>
                <w:sz w:val="24"/>
              </w:rPr>
              <w:t>重精管理</w:t>
            </w:r>
          </w:p>
        </w:tc>
        <w:tc>
          <w:tcPr>
            <w:tcW w:w="772" w:type="pct"/>
            <w:vAlign w:val="center"/>
          </w:tcPr>
          <w:p w14:paraId="533538D7">
            <w:pPr>
              <w:rPr>
                <w:rFonts w:ascii="仿宋" w:hAnsi="仿宋" w:eastAsia="仿宋" w:cs="Times New Roman"/>
                <w:sz w:val="24"/>
              </w:rPr>
            </w:pPr>
          </w:p>
        </w:tc>
        <w:tc>
          <w:tcPr>
            <w:tcW w:w="2983" w:type="pct"/>
          </w:tcPr>
          <w:p w14:paraId="3BD2673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对患有重性精神障碍的患者进行个人信息补充表、随访服务记录表方面的管理。</w:t>
            </w:r>
          </w:p>
        </w:tc>
        <w:tc>
          <w:tcPr>
            <w:tcW w:w="400" w:type="pct"/>
            <w:vAlign w:val="center"/>
          </w:tcPr>
          <w:p w14:paraId="11CFBF3F">
            <w:pPr>
              <w:rPr>
                <w:rFonts w:ascii="仿宋" w:hAnsi="仿宋" w:eastAsia="仿宋" w:cs="Calibri"/>
                <w:color w:val="000000" w:themeColor="text1"/>
                <w:kern w:val="0"/>
                <w:sz w:val="24"/>
                <w14:textFill>
                  <w14:solidFill>
                    <w14:schemeClr w14:val="tx1"/>
                  </w14:solidFill>
                </w14:textFill>
              </w:rPr>
            </w:pPr>
          </w:p>
        </w:tc>
      </w:tr>
      <w:tr w14:paraId="7F10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F150A15">
            <w:pPr>
              <w:rPr>
                <w:rFonts w:ascii="等线" w:hAnsi="等线" w:eastAsia="等线" w:cs="Times New Roman"/>
                <w:color w:val="000000"/>
                <w:sz w:val="22"/>
              </w:rPr>
            </w:pPr>
            <w:r>
              <w:rPr>
                <w:rFonts w:hint="eastAsia" w:ascii="等线" w:hAnsi="等线" w:eastAsia="等线" w:cs="Times New Roman"/>
                <w:color w:val="000000"/>
                <w:sz w:val="22"/>
              </w:rPr>
              <w:t>20</w:t>
            </w:r>
          </w:p>
        </w:tc>
        <w:tc>
          <w:tcPr>
            <w:tcW w:w="559" w:type="pct"/>
            <w:vAlign w:val="center"/>
          </w:tcPr>
          <w:p w14:paraId="353080CD">
            <w:pPr>
              <w:jc w:val="center"/>
              <w:rPr>
                <w:rFonts w:ascii="仿宋" w:hAnsi="仿宋" w:eastAsia="仿宋" w:cs="Times New Roman"/>
                <w:sz w:val="24"/>
              </w:rPr>
            </w:pPr>
            <w:r>
              <w:rPr>
                <w:rFonts w:hint="eastAsia" w:ascii="仿宋" w:hAnsi="仿宋" w:eastAsia="仿宋" w:cs="Times New Roman"/>
                <w:sz w:val="24"/>
              </w:rPr>
              <w:t>结核管理</w:t>
            </w:r>
          </w:p>
        </w:tc>
        <w:tc>
          <w:tcPr>
            <w:tcW w:w="772" w:type="pct"/>
            <w:vAlign w:val="center"/>
          </w:tcPr>
          <w:p w14:paraId="20CA02A7">
            <w:pPr>
              <w:rPr>
                <w:rFonts w:ascii="仿宋" w:hAnsi="仿宋" w:eastAsia="仿宋" w:cs="Times New Roman"/>
                <w:sz w:val="24"/>
              </w:rPr>
            </w:pPr>
          </w:p>
        </w:tc>
        <w:tc>
          <w:tcPr>
            <w:tcW w:w="2983" w:type="pct"/>
          </w:tcPr>
          <w:p w14:paraId="00D493C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对患有肺结核的患者进行第一次入户随访、随访服务记录表方面的管理。</w:t>
            </w:r>
          </w:p>
        </w:tc>
        <w:tc>
          <w:tcPr>
            <w:tcW w:w="400" w:type="pct"/>
            <w:vAlign w:val="center"/>
          </w:tcPr>
          <w:p w14:paraId="76358A89">
            <w:pPr>
              <w:rPr>
                <w:rFonts w:ascii="仿宋" w:hAnsi="仿宋" w:eastAsia="仿宋" w:cs="Calibri"/>
                <w:color w:val="000000" w:themeColor="text1"/>
                <w:kern w:val="0"/>
                <w:sz w:val="24"/>
                <w14:textFill>
                  <w14:solidFill>
                    <w14:schemeClr w14:val="tx1"/>
                  </w14:solidFill>
                </w14:textFill>
              </w:rPr>
            </w:pPr>
          </w:p>
        </w:tc>
      </w:tr>
      <w:tr w14:paraId="3F51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6F44D70">
            <w:pPr>
              <w:rPr>
                <w:rFonts w:ascii="等线" w:hAnsi="等线" w:eastAsia="等线" w:cs="Times New Roman"/>
                <w:color w:val="000000"/>
                <w:sz w:val="22"/>
              </w:rPr>
            </w:pPr>
            <w:r>
              <w:rPr>
                <w:rFonts w:hint="eastAsia" w:ascii="等线" w:hAnsi="等线" w:eastAsia="等线" w:cs="Times New Roman"/>
                <w:color w:val="000000"/>
                <w:sz w:val="22"/>
              </w:rPr>
              <w:t>21</w:t>
            </w:r>
          </w:p>
        </w:tc>
        <w:tc>
          <w:tcPr>
            <w:tcW w:w="559" w:type="pct"/>
            <w:vMerge w:val="restart"/>
            <w:vAlign w:val="center"/>
          </w:tcPr>
          <w:p w14:paraId="654B6580">
            <w:pPr>
              <w:jc w:val="center"/>
              <w:rPr>
                <w:rFonts w:ascii="仿宋" w:hAnsi="仿宋" w:eastAsia="仿宋" w:cs="Times New Roman"/>
                <w:sz w:val="24"/>
              </w:rPr>
            </w:pPr>
            <w:r>
              <w:rPr>
                <w:rFonts w:hint="eastAsia" w:ascii="仿宋" w:hAnsi="仿宋" w:eastAsia="仿宋" w:cs="Times New Roman"/>
                <w:sz w:val="24"/>
              </w:rPr>
              <w:t>中医药管理</w:t>
            </w:r>
          </w:p>
        </w:tc>
        <w:tc>
          <w:tcPr>
            <w:tcW w:w="772" w:type="pct"/>
          </w:tcPr>
          <w:p w14:paraId="1881D8F6">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老年人中医药管理</w:t>
            </w:r>
          </w:p>
        </w:tc>
        <w:tc>
          <w:tcPr>
            <w:tcW w:w="2983" w:type="pct"/>
          </w:tcPr>
          <w:p w14:paraId="1C7FDB0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对老年人进行老年人中医药管理。</w:t>
            </w:r>
          </w:p>
        </w:tc>
        <w:tc>
          <w:tcPr>
            <w:tcW w:w="400" w:type="pct"/>
            <w:vAlign w:val="center"/>
          </w:tcPr>
          <w:p w14:paraId="700307DD">
            <w:pPr>
              <w:rPr>
                <w:rFonts w:ascii="仿宋" w:hAnsi="仿宋" w:eastAsia="仿宋" w:cs="Calibri"/>
                <w:color w:val="000000" w:themeColor="text1"/>
                <w:kern w:val="0"/>
                <w:sz w:val="24"/>
                <w14:textFill>
                  <w14:solidFill>
                    <w14:schemeClr w14:val="tx1"/>
                  </w14:solidFill>
                </w14:textFill>
              </w:rPr>
            </w:pPr>
          </w:p>
        </w:tc>
      </w:tr>
      <w:tr w14:paraId="558B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2ACFBB8">
            <w:pPr>
              <w:rPr>
                <w:rFonts w:ascii="等线" w:hAnsi="等线" w:eastAsia="等线" w:cs="Times New Roman"/>
                <w:color w:val="000000"/>
                <w:sz w:val="22"/>
              </w:rPr>
            </w:pPr>
            <w:r>
              <w:rPr>
                <w:rFonts w:hint="eastAsia" w:ascii="等线" w:hAnsi="等线" w:eastAsia="等线" w:cs="Times New Roman"/>
                <w:color w:val="000000"/>
                <w:sz w:val="22"/>
              </w:rPr>
              <w:t>22</w:t>
            </w:r>
          </w:p>
        </w:tc>
        <w:tc>
          <w:tcPr>
            <w:tcW w:w="559" w:type="pct"/>
            <w:vMerge w:val="continue"/>
            <w:vAlign w:val="center"/>
          </w:tcPr>
          <w:p w14:paraId="614183B4">
            <w:pPr>
              <w:jc w:val="center"/>
              <w:rPr>
                <w:rFonts w:ascii="仿宋" w:hAnsi="仿宋" w:eastAsia="仿宋" w:cs="Times New Roman"/>
                <w:sz w:val="24"/>
              </w:rPr>
            </w:pPr>
          </w:p>
        </w:tc>
        <w:tc>
          <w:tcPr>
            <w:tcW w:w="772" w:type="pct"/>
          </w:tcPr>
          <w:p w14:paraId="296683A2">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儿童中医药管理</w:t>
            </w:r>
          </w:p>
        </w:tc>
        <w:tc>
          <w:tcPr>
            <w:tcW w:w="2983" w:type="pct"/>
          </w:tcPr>
          <w:p w14:paraId="63EEBD22">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对儿童进行儿童中医药健康管理服务记录。</w:t>
            </w:r>
          </w:p>
        </w:tc>
        <w:tc>
          <w:tcPr>
            <w:tcW w:w="400" w:type="pct"/>
            <w:vAlign w:val="center"/>
          </w:tcPr>
          <w:p w14:paraId="58DA9B7D">
            <w:pPr>
              <w:rPr>
                <w:rFonts w:ascii="仿宋" w:hAnsi="仿宋" w:eastAsia="仿宋" w:cs="Calibri"/>
                <w:color w:val="000000" w:themeColor="text1"/>
                <w:kern w:val="0"/>
                <w:sz w:val="24"/>
                <w14:textFill>
                  <w14:solidFill>
                    <w14:schemeClr w14:val="tx1"/>
                  </w14:solidFill>
                </w14:textFill>
              </w:rPr>
            </w:pPr>
          </w:p>
        </w:tc>
      </w:tr>
      <w:tr w14:paraId="6549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20237A0">
            <w:pPr>
              <w:rPr>
                <w:rFonts w:ascii="等线" w:hAnsi="等线" w:eastAsia="等线" w:cs="Times New Roman"/>
                <w:color w:val="000000"/>
                <w:sz w:val="22"/>
              </w:rPr>
            </w:pPr>
            <w:r>
              <w:rPr>
                <w:rFonts w:hint="eastAsia" w:ascii="等线" w:hAnsi="等线" w:eastAsia="等线" w:cs="Times New Roman"/>
                <w:color w:val="000000"/>
                <w:sz w:val="22"/>
              </w:rPr>
              <w:t>23</w:t>
            </w:r>
          </w:p>
        </w:tc>
        <w:tc>
          <w:tcPr>
            <w:tcW w:w="559" w:type="pct"/>
            <w:vMerge w:val="continue"/>
            <w:vAlign w:val="center"/>
          </w:tcPr>
          <w:p w14:paraId="3A1CE239">
            <w:pPr>
              <w:jc w:val="center"/>
              <w:rPr>
                <w:rFonts w:ascii="仿宋" w:hAnsi="仿宋" w:eastAsia="仿宋" w:cs="Times New Roman"/>
                <w:sz w:val="24"/>
              </w:rPr>
            </w:pPr>
          </w:p>
        </w:tc>
        <w:tc>
          <w:tcPr>
            <w:tcW w:w="772" w:type="pct"/>
          </w:tcPr>
          <w:p w14:paraId="011F6A2B">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中医健康指导</w:t>
            </w:r>
          </w:p>
        </w:tc>
        <w:tc>
          <w:tcPr>
            <w:tcW w:w="2983" w:type="pct"/>
          </w:tcPr>
          <w:p w14:paraId="739FC289">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对居民进行中医体质辨识和中医健康指导。</w:t>
            </w:r>
          </w:p>
        </w:tc>
        <w:tc>
          <w:tcPr>
            <w:tcW w:w="400" w:type="pct"/>
            <w:vAlign w:val="center"/>
          </w:tcPr>
          <w:p w14:paraId="52F6E8AF">
            <w:pPr>
              <w:rPr>
                <w:rFonts w:ascii="仿宋" w:hAnsi="仿宋" w:eastAsia="仿宋" w:cs="Calibri"/>
                <w:color w:val="000000" w:themeColor="text1"/>
                <w:kern w:val="0"/>
                <w:sz w:val="24"/>
                <w14:textFill>
                  <w14:solidFill>
                    <w14:schemeClr w14:val="tx1"/>
                  </w14:solidFill>
                </w14:textFill>
              </w:rPr>
            </w:pPr>
          </w:p>
        </w:tc>
      </w:tr>
      <w:tr w14:paraId="5E92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7261CBBD">
            <w:pPr>
              <w:rPr>
                <w:rFonts w:ascii="等线" w:hAnsi="等线" w:eastAsia="等线" w:cs="Times New Roman"/>
                <w:color w:val="000000"/>
                <w:sz w:val="22"/>
              </w:rPr>
            </w:pPr>
            <w:r>
              <w:rPr>
                <w:rFonts w:hint="eastAsia" w:ascii="等线" w:hAnsi="等线" w:eastAsia="等线" w:cs="Times New Roman"/>
                <w:color w:val="000000"/>
                <w:sz w:val="22"/>
              </w:rPr>
              <w:t>24</w:t>
            </w:r>
          </w:p>
        </w:tc>
        <w:tc>
          <w:tcPr>
            <w:tcW w:w="559" w:type="pct"/>
            <w:vAlign w:val="center"/>
          </w:tcPr>
          <w:p w14:paraId="2CD1FAF0">
            <w:pPr>
              <w:jc w:val="center"/>
              <w:rPr>
                <w:rFonts w:ascii="仿宋" w:hAnsi="仿宋" w:eastAsia="仿宋" w:cs="Times New Roman"/>
                <w:sz w:val="24"/>
              </w:rPr>
            </w:pPr>
            <w:r>
              <w:rPr>
                <w:rFonts w:hint="eastAsia" w:ascii="仿宋" w:hAnsi="仿宋" w:eastAsia="仿宋" w:cs="Times New Roman"/>
                <w:sz w:val="24"/>
              </w:rPr>
              <w:t>老年人管理</w:t>
            </w:r>
          </w:p>
        </w:tc>
        <w:tc>
          <w:tcPr>
            <w:tcW w:w="772" w:type="pct"/>
          </w:tcPr>
          <w:p w14:paraId="0E94849C">
            <w:pPr>
              <w:rPr>
                <w:rFonts w:ascii="仿宋" w:hAnsi="仿宋" w:eastAsia="仿宋" w:cs="Times New Roman"/>
                <w:sz w:val="24"/>
              </w:rPr>
            </w:pPr>
          </w:p>
        </w:tc>
        <w:tc>
          <w:tcPr>
            <w:tcW w:w="2983" w:type="pct"/>
          </w:tcPr>
          <w:p w14:paraId="6671C8C2">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对老年人进行老年人自理能力评估。</w:t>
            </w:r>
          </w:p>
        </w:tc>
        <w:tc>
          <w:tcPr>
            <w:tcW w:w="400" w:type="pct"/>
            <w:vAlign w:val="center"/>
          </w:tcPr>
          <w:p w14:paraId="362FB07D">
            <w:pPr>
              <w:rPr>
                <w:rFonts w:ascii="仿宋" w:hAnsi="仿宋" w:eastAsia="仿宋" w:cs="Calibri"/>
                <w:color w:val="000000" w:themeColor="text1"/>
                <w:kern w:val="0"/>
                <w:sz w:val="24"/>
                <w14:textFill>
                  <w14:solidFill>
                    <w14:schemeClr w14:val="tx1"/>
                  </w14:solidFill>
                </w14:textFill>
              </w:rPr>
            </w:pPr>
          </w:p>
        </w:tc>
      </w:tr>
      <w:tr w14:paraId="0D6F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A38143F">
            <w:pPr>
              <w:rPr>
                <w:rFonts w:ascii="等线" w:hAnsi="等线" w:eastAsia="等线" w:cs="Times New Roman"/>
                <w:color w:val="000000"/>
                <w:sz w:val="22"/>
              </w:rPr>
            </w:pPr>
            <w:r>
              <w:rPr>
                <w:rFonts w:hint="eastAsia" w:ascii="等线" w:hAnsi="等线" w:eastAsia="等线" w:cs="Times New Roman"/>
                <w:color w:val="000000"/>
                <w:sz w:val="22"/>
              </w:rPr>
              <w:t>25</w:t>
            </w:r>
          </w:p>
        </w:tc>
        <w:tc>
          <w:tcPr>
            <w:tcW w:w="559" w:type="pct"/>
            <w:vMerge w:val="restart"/>
            <w:vAlign w:val="center"/>
          </w:tcPr>
          <w:p w14:paraId="346D9911">
            <w:pPr>
              <w:jc w:val="center"/>
              <w:rPr>
                <w:rFonts w:ascii="仿宋" w:hAnsi="仿宋" w:eastAsia="仿宋" w:cs="Times New Roman"/>
                <w:sz w:val="24"/>
              </w:rPr>
            </w:pPr>
            <w:r>
              <w:rPr>
                <w:rFonts w:hint="eastAsia" w:ascii="仿宋" w:hAnsi="仿宋" w:eastAsia="仿宋" w:cs="Times New Roman"/>
                <w:sz w:val="24"/>
              </w:rPr>
              <w:t>妇幼管理</w:t>
            </w:r>
          </w:p>
        </w:tc>
        <w:tc>
          <w:tcPr>
            <w:tcW w:w="772" w:type="pct"/>
          </w:tcPr>
          <w:p w14:paraId="6B95F565">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妇女管理</w:t>
            </w:r>
          </w:p>
        </w:tc>
        <w:tc>
          <w:tcPr>
            <w:tcW w:w="2983" w:type="pct"/>
          </w:tcPr>
          <w:p w14:paraId="1643914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对妇女进行妇女档案、婚前医学检查、叶酸登记、孕前医学检查、常见妇女病检查方面的管理。</w:t>
            </w:r>
          </w:p>
        </w:tc>
        <w:tc>
          <w:tcPr>
            <w:tcW w:w="400" w:type="pct"/>
            <w:vAlign w:val="center"/>
          </w:tcPr>
          <w:p w14:paraId="3929A36B">
            <w:pPr>
              <w:rPr>
                <w:rFonts w:ascii="仿宋" w:hAnsi="仿宋" w:eastAsia="仿宋" w:cs="Calibri"/>
                <w:color w:val="000000" w:themeColor="text1"/>
                <w:kern w:val="0"/>
                <w:sz w:val="24"/>
                <w14:textFill>
                  <w14:solidFill>
                    <w14:schemeClr w14:val="tx1"/>
                  </w14:solidFill>
                </w14:textFill>
              </w:rPr>
            </w:pPr>
          </w:p>
        </w:tc>
      </w:tr>
      <w:tr w14:paraId="587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A84DAE0">
            <w:pPr>
              <w:rPr>
                <w:rFonts w:ascii="等线" w:hAnsi="等线" w:eastAsia="等线" w:cs="Times New Roman"/>
                <w:color w:val="000000"/>
                <w:sz w:val="22"/>
              </w:rPr>
            </w:pPr>
            <w:r>
              <w:rPr>
                <w:rFonts w:hint="eastAsia" w:ascii="等线" w:hAnsi="等线" w:eastAsia="等线" w:cs="Times New Roman"/>
                <w:color w:val="000000"/>
                <w:sz w:val="22"/>
              </w:rPr>
              <w:t>26</w:t>
            </w:r>
          </w:p>
        </w:tc>
        <w:tc>
          <w:tcPr>
            <w:tcW w:w="559" w:type="pct"/>
            <w:vMerge w:val="continue"/>
            <w:vAlign w:val="center"/>
          </w:tcPr>
          <w:p w14:paraId="75CD88D5">
            <w:pPr>
              <w:jc w:val="center"/>
              <w:rPr>
                <w:rFonts w:ascii="仿宋" w:hAnsi="仿宋" w:eastAsia="仿宋" w:cs="Times New Roman"/>
                <w:sz w:val="24"/>
              </w:rPr>
            </w:pPr>
          </w:p>
        </w:tc>
        <w:tc>
          <w:tcPr>
            <w:tcW w:w="772" w:type="pct"/>
          </w:tcPr>
          <w:p w14:paraId="69073BD4">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孕产妇管理</w:t>
            </w:r>
          </w:p>
        </w:tc>
        <w:tc>
          <w:tcPr>
            <w:tcW w:w="2983" w:type="pct"/>
          </w:tcPr>
          <w:p w14:paraId="6D49CE43">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对孕产妇进行孕产妇档案、第一次产前检查、产前访视、分娩记录、产后访视、产后42天、妊娠风险筛查、妊娠风险评估方面的管理。</w:t>
            </w:r>
          </w:p>
        </w:tc>
        <w:tc>
          <w:tcPr>
            <w:tcW w:w="400" w:type="pct"/>
            <w:vAlign w:val="center"/>
          </w:tcPr>
          <w:p w14:paraId="437AC904">
            <w:pPr>
              <w:rPr>
                <w:rFonts w:ascii="仿宋" w:hAnsi="仿宋" w:eastAsia="仿宋" w:cs="Calibri"/>
                <w:color w:val="000000" w:themeColor="text1"/>
                <w:kern w:val="0"/>
                <w:sz w:val="24"/>
                <w14:textFill>
                  <w14:solidFill>
                    <w14:schemeClr w14:val="tx1"/>
                  </w14:solidFill>
                </w14:textFill>
              </w:rPr>
            </w:pPr>
          </w:p>
        </w:tc>
      </w:tr>
      <w:tr w14:paraId="0FE6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3398377">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27</w:t>
            </w:r>
          </w:p>
        </w:tc>
        <w:tc>
          <w:tcPr>
            <w:tcW w:w="559" w:type="pct"/>
            <w:vMerge w:val="continue"/>
            <w:vAlign w:val="center"/>
          </w:tcPr>
          <w:p w14:paraId="20752421">
            <w:pPr>
              <w:jc w:val="center"/>
              <w:rPr>
                <w:rFonts w:ascii="仿宋" w:hAnsi="仿宋" w:eastAsia="仿宋" w:cs="Times New Roman"/>
                <w:sz w:val="24"/>
              </w:rPr>
            </w:pPr>
          </w:p>
        </w:tc>
        <w:tc>
          <w:tcPr>
            <w:tcW w:w="772" w:type="pct"/>
          </w:tcPr>
          <w:p w14:paraId="48F7CCCC">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儿童管理</w:t>
            </w:r>
          </w:p>
        </w:tc>
        <w:tc>
          <w:tcPr>
            <w:tcW w:w="2983" w:type="pct"/>
          </w:tcPr>
          <w:p w14:paraId="5FA0F18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对儿童进行儿童档案、出生医学证明、新生儿家庭访视、1-8月龄儿童健康检查、</w:t>
            </w:r>
            <w:r>
              <w:rPr>
                <w:rFonts w:ascii="仿宋" w:hAnsi="仿宋" w:eastAsia="仿宋" w:cs="Calibri"/>
                <w:color w:val="000000" w:themeColor="text1"/>
                <w:kern w:val="0"/>
                <w:sz w:val="24"/>
                <w14:textFill>
                  <w14:solidFill>
                    <w14:schemeClr w14:val="tx1"/>
                  </w14:solidFill>
                </w14:textFill>
              </w:rPr>
              <w:t>12-30</w:t>
            </w:r>
            <w:r>
              <w:rPr>
                <w:rFonts w:hint="eastAsia" w:ascii="仿宋" w:hAnsi="仿宋" w:eastAsia="仿宋" w:cs="Calibri"/>
                <w:color w:val="000000" w:themeColor="text1"/>
                <w:kern w:val="0"/>
                <w:sz w:val="24"/>
                <w14:textFill>
                  <w14:solidFill>
                    <w14:schemeClr w14:val="tx1"/>
                  </w14:solidFill>
                </w14:textFill>
              </w:rPr>
              <w:t>月龄儿童健康检查、</w:t>
            </w:r>
            <w:r>
              <w:rPr>
                <w:rFonts w:ascii="仿宋" w:hAnsi="仿宋" w:eastAsia="仿宋" w:cs="Calibri"/>
                <w:color w:val="000000" w:themeColor="text1"/>
                <w:kern w:val="0"/>
                <w:sz w:val="24"/>
                <w14:textFill>
                  <w14:solidFill>
                    <w14:schemeClr w14:val="tx1"/>
                  </w14:solidFill>
                </w14:textFill>
              </w:rPr>
              <w:t>3-6</w:t>
            </w:r>
            <w:r>
              <w:rPr>
                <w:rFonts w:hint="eastAsia" w:ascii="仿宋" w:hAnsi="仿宋" w:eastAsia="仿宋" w:cs="Calibri"/>
                <w:color w:val="000000" w:themeColor="text1"/>
                <w:kern w:val="0"/>
                <w:sz w:val="24"/>
                <w14:textFill>
                  <w14:solidFill>
                    <w14:schemeClr w14:val="tx1"/>
                  </w14:solidFill>
                </w14:textFill>
              </w:rPr>
              <w:t>岁儿童健康检查、新生儿视力筛查、新生儿听力筛查、新生儿疾病筛查、新生儿期眼保健及视力检查、婴儿期眼保健及视力检查、幼儿期眼保健及视力检查、学龄期眼保健及视力检查、生长发育监测图、5岁以下死亡登记方面的管理。</w:t>
            </w:r>
          </w:p>
        </w:tc>
        <w:tc>
          <w:tcPr>
            <w:tcW w:w="400" w:type="pct"/>
            <w:vAlign w:val="center"/>
          </w:tcPr>
          <w:p w14:paraId="5A01BE19">
            <w:pPr>
              <w:rPr>
                <w:rFonts w:ascii="仿宋" w:hAnsi="仿宋" w:eastAsia="仿宋" w:cs="Calibri"/>
                <w:color w:val="000000" w:themeColor="text1"/>
                <w:kern w:val="0"/>
                <w:sz w:val="24"/>
                <w14:textFill>
                  <w14:solidFill>
                    <w14:schemeClr w14:val="tx1"/>
                  </w14:solidFill>
                </w14:textFill>
              </w:rPr>
            </w:pPr>
          </w:p>
        </w:tc>
      </w:tr>
      <w:tr w14:paraId="02AF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08559D2">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28</w:t>
            </w:r>
          </w:p>
        </w:tc>
        <w:tc>
          <w:tcPr>
            <w:tcW w:w="559" w:type="pct"/>
            <w:vMerge w:val="continue"/>
            <w:vAlign w:val="center"/>
          </w:tcPr>
          <w:p w14:paraId="26D3B418">
            <w:pPr>
              <w:jc w:val="center"/>
              <w:rPr>
                <w:rFonts w:ascii="仿宋" w:hAnsi="仿宋" w:eastAsia="仿宋" w:cs="Times New Roman"/>
                <w:sz w:val="24"/>
              </w:rPr>
            </w:pPr>
          </w:p>
        </w:tc>
        <w:tc>
          <w:tcPr>
            <w:tcW w:w="772" w:type="pct"/>
          </w:tcPr>
          <w:p w14:paraId="22B0B84A">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计免管理</w:t>
            </w:r>
          </w:p>
        </w:tc>
        <w:tc>
          <w:tcPr>
            <w:tcW w:w="2983" w:type="pct"/>
          </w:tcPr>
          <w:p w14:paraId="2E73CCE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对儿童进行预防接种基本信息、预防接种记录方面的管理。</w:t>
            </w:r>
          </w:p>
        </w:tc>
        <w:tc>
          <w:tcPr>
            <w:tcW w:w="400" w:type="pct"/>
            <w:vAlign w:val="center"/>
          </w:tcPr>
          <w:p w14:paraId="79A67A52">
            <w:pPr>
              <w:rPr>
                <w:rFonts w:ascii="仿宋" w:hAnsi="仿宋" w:eastAsia="仿宋" w:cs="Calibri"/>
                <w:color w:val="000000" w:themeColor="text1"/>
                <w:kern w:val="0"/>
                <w:sz w:val="24"/>
                <w14:textFill>
                  <w14:solidFill>
                    <w14:schemeClr w14:val="tx1"/>
                  </w14:solidFill>
                </w14:textFill>
              </w:rPr>
            </w:pPr>
          </w:p>
        </w:tc>
      </w:tr>
      <w:tr w14:paraId="6461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FAE1AC6">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29</w:t>
            </w:r>
          </w:p>
        </w:tc>
        <w:tc>
          <w:tcPr>
            <w:tcW w:w="559" w:type="pct"/>
            <w:vMerge w:val="continue"/>
            <w:vAlign w:val="center"/>
          </w:tcPr>
          <w:p w14:paraId="1545F78C">
            <w:pPr>
              <w:jc w:val="center"/>
              <w:rPr>
                <w:rFonts w:ascii="仿宋" w:hAnsi="仿宋" w:eastAsia="仿宋" w:cs="Times New Roman"/>
                <w:sz w:val="24"/>
              </w:rPr>
            </w:pPr>
          </w:p>
        </w:tc>
        <w:tc>
          <w:tcPr>
            <w:tcW w:w="772" w:type="pct"/>
          </w:tcPr>
          <w:p w14:paraId="383672A1">
            <w:pPr>
              <w:rPr>
                <w:rFonts w:ascii="仿宋" w:hAnsi="仿宋" w:eastAsia="仿宋" w:cs="Times New Roman"/>
                <w:sz w:val="24"/>
              </w:rPr>
            </w:pPr>
            <w:r>
              <w:rPr>
                <w:rFonts w:hint="eastAsia" w:ascii="仿宋" w:hAnsi="仿宋" w:eastAsia="仿宋" w:cs="Times New Roman"/>
                <w:sz w:val="24"/>
              </w:rPr>
              <w:t>两癌筛查</w:t>
            </w:r>
          </w:p>
        </w:tc>
        <w:tc>
          <w:tcPr>
            <w:tcW w:w="2983" w:type="pct"/>
          </w:tcPr>
          <w:p w14:paraId="25565860">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对已婚相应妇女进行乳腺癌检查、宫颈癌检查评估方面的管理。</w:t>
            </w:r>
          </w:p>
        </w:tc>
        <w:tc>
          <w:tcPr>
            <w:tcW w:w="400" w:type="pct"/>
            <w:vAlign w:val="center"/>
          </w:tcPr>
          <w:p w14:paraId="539709D7">
            <w:pPr>
              <w:rPr>
                <w:rFonts w:ascii="仿宋" w:hAnsi="仿宋" w:eastAsia="仿宋" w:cs="Calibri"/>
                <w:color w:val="000000" w:themeColor="text1"/>
                <w:kern w:val="0"/>
                <w:sz w:val="24"/>
                <w14:textFill>
                  <w14:solidFill>
                    <w14:schemeClr w14:val="tx1"/>
                  </w14:solidFill>
                </w14:textFill>
              </w:rPr>
            </w:pPr>
          </w:p>
        </w:tc>
      </w:tr>
      <w:tr w14:paraId="4E9B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18ADCE9">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30</w:t>
            </w:r>
          </w:p>
        </w:tc>
        <w:tc>
          <w:tcPr>
            <w:tcW w:w="559" w:type="pct"/>
            <w:vMerge w:val="continue"/>
            <w:vAlign w:val="center"/>
          </w:tcPr>
          <w:p w14:paraId="37499F07">
            <w:pPr>
              <w:jc w:val="center"/>
              <w:rPr>
                <w:rFonts w:ascii="仿宋" w:hAnsi="仿宋" w:eastAsia="仿宋" w:cs="Times New Roman"/>
                <w:sz w:val="24"/>
              </w:rPr>
            </w:pPr>
          </w:p>
        </w:tc>
        <w:tc>
          <w:tcPr>
            <w:tcW w:w="772" w:type="pct"/>
          </w:tcPr>
          <w:p w14:paraId="1E6694DB">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母婴阻断</w:t>
            </w:r>
          </w:p>
        </w:tc>
        <w:tc>
          <w:tcPr>
            <w:tcW w:w="2983" w:type="pct"/>
          </w:tcPr>
          <w:p w14:paraId="32A790F8">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患有艾梅乙的孕产妇进行孕产妇艾滋病基本信息、艾滋病孕产妇分娩及新生儿情况、艾滋病孕产妇所生儿童随访、孕产妇梅毒基本信息、梅毒孕产妇分娩及新生儿情况、梅毒孕产妇所生儿童随访、孕产妇乙肝基本信息、乙肝孕产妇分娩及新生儿情况、乙肝孕产妇所生儿童随访方面的管理。</w:t>
            </w:r>
          </w:p>
        </w:tc>
        <w:tc>
          <w:tcPr>
            <w:tcW w:w="400" w:type="pct"/>
            <w:vAlign w:val="center"/>
          </w:tcPr>
          <w:p w14:paraId="423D8EC7">
            <w:pPr>
              <w:rPr>
                <w:rFonts w:ascii="仿宋" w:hAnsi="仿宋" w:eastAsia="仿宋" w:cs="Calibri"/>
                <w:color w:val="000000" w:themeColor="text1"/>
                <w:kern w:val="0"/>
                <w:sz w:val="24"/>
                <w14:textFill>
                  <w14:solidFill>
                    <w14:schemeClr w14:val="tx1"/>
                  </w14:solidFill>
                </w14:textFill>
              </w:rPr>
            </w:pPr>
          </w:p>
        </w:tc>
      </w:tr>
      <w:tr w14:paraId="09F5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24739D1">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31</w:t>
            </w:r>
          </w:p>
        </w:tc>
        <w:tc>
          <w:tcPr>
            <w:tcW w:w="559" w:type="pct"/>
            <w:vMerge w:val="restart"/>
            <w:vAlign w:val="center"/>
          </w:tcPr>
          <w:p w14:paraId="6181F598">
            <w:pPr>
              <w:jc w:val="center"/>
              <w:rPr>
                <w:rFonts w:ascii="仿宋" w:hAnsi="仿宋" w:eastAsia="仿宋" w:cs="Times New Roman"/>
                <w:sz w:val="24"/>
              </w:rPr>
            </w:pPr>
            <w:r>
              <w:rPr>
                <w:rFonts w:hint="eastAsia" w:ascii="仿宋" w:hAnsi="仿宋" w:eastAsia="仿宋" w:cs="Times New Roman"/>
                <w:sz w:val="24"/>
              </w:rPr>
              <w:t>健教管理</w:t>
            </w:r>
          </w:p>
        </w:tc>
        <w:tc>
          <w:tcPr>
            <w:tcW w:w="772" w:type="pct"/>
          </w:tcPr>
          <w:p w14:paraId="51B7ACEC">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活动管理</w:t>
            </w:r>
          </w:p>
        </w:tc>
        <w:tc>
          <w:tcPr>
            <w:tcW w:w="2983" w:type="pct"/>
          </w:tcPr>
          <w:p w14:paraId="52F5D1C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对机构举办的健康教育活动进行管理。</w:t>
            </w:r>
          </w:p>
        </w:tc>
        <w:tc>
          <w:tcPr>
            <w:tcW w:w="400" w:type="pct"/>
            <w:vAlign w:val="center"/>
          </w:tcPr>
          <w:p w14:paraId="3BBAD7CC">
            <w:pPr>
              <w:rPr>
                <w:rFonts w:ascii="仿宋" w:hAnsi="仿宋" w:eastAsia="仿宋" w:cs="Calibri"/>
                <w:color w:val="000000" w:themeColor="text1"/>
                <w:kern w:val="0"/>
                <w:sz w:val="24"/>
                <w14:textFill>
                  <w14:solidFill>
                    <w14:schemeClr w14:val="tx1"/>
                  </w14:solidFill>
                </w14:textFill>
              </w:rPr>
            </w:pPr>
          </w:p>
        </w:tc>
      </w:tr>
      <w:tr w14:paraId="3622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05FF450">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32</w:t>
            </w:r>
          </w:p>
        </w:tc>
        <w:tc>
          <w:tcPr>
            <w:tcW w:w="559" w:type="pct"/>
            <w:vMerge w:val="continue"/>
            <w:vAlign w:val="center"/>
          </w:tcPr>
          <w:p w14:paraId="4C2C59B5">
            <w:pPr>
              <w:jc w:val="center"/>
              <w:rPr>
                <w:rFonts w:ascii="仿宋" w:hAnsi="仿宋" w:eastAsia="仿宋" w:cs="Times New Roman"/>
                <w:sz w:val="24"/>
              </w:rPr>
            </w:pPr>
          </w:p>
        </w:tc>
        <w:tc>
          <w:tcPr>
            <w:tcW w:w="772" w:type="pct"/>
          </w:tcPr>
          <w:p w14:paraId="5C7A5AE1">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宣传栏管理</w:t>
            </w:r>
          </w:p>
        </w:tc>
        <w:tc>
          <w:tcPr>
            <w:tcW w:w="2983" w:type="pct"/>
          </w:tcPr>
          <w:p w14:paraId="55DF8A4A">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对机构举办的健康教育宣传栏进行管理。</w:t>
            </w:r>
          </w:p>
        </w:tc>
        <w:tc>
          <w:tcPr>
            <w:tcW w:w="400" w:type="pct"/>
            <w:vAlign w:val="center"/>
          </w:tcPr>
          <w:p w14:paraId="7E665048">
            <w:pPr>
              <w:rPr>
                <w:rFonts w:ascii="仿宋" w:hAnsi="仿宋" w:eastAsia="仿宋" w:cs="Calibri"/>
                <w:color w:val="000000" w:themeColor="text1"/>
                <w:kern w:val="0"/>
                <w:sz w:val="24"/>
                <w14:textFill>
                  <w14:solidFill>
                    <w14:schemeClr w14:val="tx1"/>
                  </w14:solidFill>
                </w14:textFill>
              </w:rPr>
            </w:pPr>
          </w:p>
        </w:tc>
      </w:tr>
      <w:tr w14:paraId="548F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C7821F1">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33</w:t>
            </w:r>
          </w:p>
        </w:tc>
        <w:tc>
          <w:tcPr>
            <w:tcW w:w="559" w:type="pct"/>
            <w:vMerge w:val="continue"/>
            <w:vAlign w:val="center"/>
          </w:tcPr>
          <w:p w14:paraId="57BAFF2E">
            <w:pPr>
              <w:jc w:val="center"/>
              <w:rPr>
                <w:rFonts w:ascii="仿宋" w:hAnsi="仿宋" w:eastAsia="仿宋" w:cs="Times New Roman"/>
                <w:sz w:val="24"/>
              </w:rPr>
            </w:pPr>
          </w:p>
        </w:tc>
        <w:tc>
          <w:tcPr>
            <w:tcW w:w="772" w:type="pct"/>
          </w:tcPr>
          <w:p w14:paraId="3BDC5F74">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音像管理</w:t>
            </w:r>
          </w:p>
        </w:tc>
        <w:tc>
          <w:tcPr>
            <w:tcW w:w="2983" w:type="pct"/>
          </w:tcPr>
          <w:p w14:paraId="6ECB7340">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对机构举办的健康教育音像进行管理。</w:t>
            </w:r>
          </w:p>
        </w:tc>
        <w:tc>
          <w:tcPr>
            <w:tcW w:w="400" w:type="pct"/>
            <w:vAlign w:val="center"/>
          </w:tcPr>
          <w:p w14:paraId="0361A8A5">
            <w:pPr>
              <w:rPr>
                <w:rFonts w:ascii="仿宋" w:hAnsi="仿宋" w:eastAsia="仿宋" w:cs="Calibri"/>
                <w:color w:val="000000" w:themeColor="text1"/>
                <w:kern w:val="0"/>
                <w:sz w:val="24"/>
                <w14:textFill>
                  <w14:solidFill>
                    <w14:schemeClr w14:val="tx1"/>
                  </w14:solidFill>
                </w14:textFill>
              </w:rPr>
            </w:pPr>
          </w:p>
        </w:tc>
      </w:tr>
      <w:tr w14:paraId="2EA1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02AEC37">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34</w:t>
            </w:r>
          </w:p>
        </w:tc>
        <w:tc>
          <w:tcPr>
            <w:tcW w:w="559" w:type="pct"/>
            <w:vMerge w:val="continue"/>
            <w:vAlign w:val="center"/>
          </w:tcPr>
          <w:p w14:paraId="09B498EE">
            <w:pPr>
              <w:jc w:val="center"/>
              <w:rPr>
                <w:rFonts w:ascii="仿宋" w:hAnsi="仿宋" w:eastAsia="仿宋" w:cs="Times New Roman"/>
                <w:sz w:val="24"/>
              </w:rPr>
            </w:pPr>
          </w:p>
        </w:tc>
        <w:tc>
          <w:tcPr>
            <w:tcW w:w="772" w:type="pct"/>
          </w:tcPr>
          <w:p w14:paraId="705B969C">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广播管理</w:t>
            </w:r>
          </w:p>
        </w:tc>
        <w:tc>
          <w:tcPr>
            <w:tcW w:w="2983" w:type="pct"/>
          </w:tcPr>
          <w:p w14:paraId="4BBD55C0">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对机构举办的健康教育广播进行管理。</w:t>
            </w:r>
          </w:p>
        </w:tc>
        <w:tc>
          <w:tcPr>
            <w:tcW w:w="400" w:type="pct"/>
            <w:vAlign w:val="center"/>
          </w:tcPr>
          <w:p w14:paraId="1C20BA90">
            <w:pPr>
              <w:rPr>
                <w:rFonts w:ascii="仿宋" w:hAnsi="仿宋" w:eastAsia="仿宋" w:cs="Calibri"/>
                <w:color w:val="000000" w:themeColor="text1"/>
                <w:kern w:val="0"/>
                <w:sz w:val="24"/>
                <w14:textFill>
                  <w14:solidFill>
                    <w14:schemeClr w14:val="tx1"/>
                  </w14:solidFill>
                </w14:textFill>
              </w:rPr>
            </w:pPr>
          </w:p>
        </w:tc>
      </w:tr>
      <w:tr w14:paraId="3F6A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771EFB12">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35</w:t>
            </w:r>
          </w:p>
        </w:tc>
        <w:tc>
          <w:tcPr>
            <w:tcW w:w="559" w:type="pct"/>
            <w:vMerge w:val="continue"/>
            <w:vAlign w:val="center"/>
          </w:tcPr>
          <w:p w14:paraId="7A92EB71">
            <w:pPr>
              <w:jc w:val="center"/>
              <w:rPr>
                <w:rFonts w:ascii="仿宋" w:hAnsi="仿宋" w:eastAsia="仿宋" w:cs="Times New Roman"/>
                <w:sz w:val="24"/>
              </w:rPr>
            </w:pPr>
          </w:p>
        </w:tc>
        <w:tc>
          <w:tcPr>
            <w:tcW w:w="772" w:type="pct"/>
          </w:tcPr>
          <w:p w14:paraId="715F470F">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个体教育管理</w:t>
            </w:r>
          </w:p>
        </w:tc>
        <w:tc>
          <w:tcPr>
            <w:tcW w:w="2983" w:type="pct"/>
          </w:tcPr>
          <w:p w14:paraId="4FBB243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对居民参与的机构举办的健康教育进行管理。</w:t>
            </w:r>
          </w:p>
        </w:tc>
        <w:tc>
          <w:tcPr>
            <w:tcW w:w="400" w:type="pct"/>
            <w:vAlign w:val="center"/>
          </w:tcPr>
          <w:p w14:paraId="0389255B">
            <w:pPr>
              <w:rPr>
                <w:rFonts w:ascii="仿宋" w:hAnsi="仿宋" w:eastAsia="仿宋" w:cs="Calibri"/>
                <w:color w:val="000000" w:themeColor="text1"/>
                <w:kern w:val="0"/>
                <w:sz w:val="24"/>
                <w14:textFill>
                  <w14:solidFill>
                    <w14:schemeClr w14:val="tx1"/>
                  </w14:solidFill>
                </w14:textFill>
              </w:rPr>
            </w:pPr>
          </w:p>
        </w:tc>
      </w:tr>
      <w:tr w14:paraId="4644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4C8210EA">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36</w:t>
            </w:r>
          </w:p>
        </w:tc>
        <w:tc>
          <w:tcPr>
            <w:tcW w:w="559" w:type="pct"/>
            <w:vMerge w:val="continue"/>
            <w:vAlign w:val="center"/>
          </w:tcPr>
          <w:p w14:paraId="34CFC197">
            <w:pPr>
              <w:jc w:val="center"/>
              <w:rPr>
                <w:rFonts w:ascii="仿宋" w:hAnsi="仿宋" w:eastAsia="仿宋" w:cs="Times New Roman"/>
                <w:sz w:val="24"/>
              </w:rPr>
            </w:pPr>
          </w:p>
        </w:tc>
        <w:tc>
          <w:tcPr>
            <w:tcW w:w="772" w:type="pct"/>
          </w:tcPr>
          <w:p w14:paraId="21429CDE">
            <w:pPr>
              <w:rPr>
                <w:rFonts w:ascii="仿宋" w:hAnsi="仿宋" w:eastAsia="仿宋" w:cs="Times New Roman"/>
                <w:sz w:val="24"/>
              </w:rPr>
            </w:pPr>
            <w:r>
              <w:rPr>
                <w:rFonts w:hint="eastAsia" w:ascii="仿宋" w:hAnsi="仿宋" w:eastAsia="仿宋" w:cs="Times New Roman"/>
                <w:sz w:val="24"/>
              </w:rPr>
              <w:t>计划管理</w:t>
            </w:r>
          </w:p>
        </w:tc>
        <w:tc>
          <w:tcPr>
            <w:tcW w:w="2983" w:type="pct"/>
          </w:tcPr>
          <w:p w14:paraId="5F0ECAC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区域对机构需要举办的健康教育进行管理。</w:t>
            </w:r>
          </w:p>
        </w:tc>
        <w:tc>
          <w:tcPr>
            <w:tcW w:w="400" w:type="pct"/>
            <w:vAlign w:val="center"/>
          </w:tcPr>
          <w:p w14:paraId="7DE49C15">
            <w:pPr>
              <w:rPr>
                <w:rFonts w:ascii="仿宋" w:hAnsi="仿宋" w:eastAsia="仿宋" w:cs="Calibri"/>
                <w:color w:val="000000" w:themeColor="text1"/>
                <w:kern w:val="0"/>
                <w:sz w:val="24"/>
                <w14:textFill>
                  <w14:solidFill>
                    <w14:schemeClr w14:val="tx1"/>
                  </w14:solidFill>
                </w14:textFill>
              </w:rPr>
            </w:pPr>
          </w:p>
        </w:tc>
      </w:tr>
      <w:tr w14:paraId="4C37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771EDE8">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37</w:t>
            </w:r>
          </w:p>
        </w:tc>
        <w:tc>
          <w:tcPr>
            <w:tcW w:w="559" w:type="pct"/>
            <w:vAlign w:val="center"/>
          </w:tcPr>
          <w:p w14:paraId="48C0D0D2">
            <w:pPr>
              <w:jc w:val="center"/>
              <w:rPr>
                <w:rFonts w:ascii="仿宋" w:hAnsi="仿宋" w:eastAsia="仿宋" w:cs="Times New Roman"/>
                <w:sz w:val="24"/>
              </w:rPr>
            </w:pPr>
            <w:r>
              <w:rPr>
                <w:rFonts w:hint="eastAsia" w:ascii="仿宋" w:hAnsi="仿宋" w:eastAsia="仿宋" w:cs="Times New Roman"/>
                <w:sz w:val="24"/>
              </w:rPr>
              <w:t>双向转诊</w:t>
            </w:r>
          </w:p>
        </w:tc>
        <w:tc>
          <w:tcPr>
            <w:tcW w:w="772" w:type="pct"/>
          </w:tcPr>
          <w:p w14:paraId="2817E594">
            <w:pPr>
              <w:rPr>
                <w:rFonts w:ascii="仿宋" w:hAnsi="仿宋" w:eastAsia="仿宋" w:cs="Times New Roman"/>
                <w:sz w:val="24"/>
              </w:rPr>
            </w:pPr>
          </w:p>
        </w:tc>
        <w:tc>
          <w:tcPr>
            <w:tcW w:w="2983" w:type="pct"/>
          </w:tcPr>
          <w:p w14:paraId="088D169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对居民的双向转诊信息进行管理。</w:t>
            </w:r>
          </w:p>
        </w:tc>
        <w:tc>
          <w:tcPr>
            <w:tcW w:w="400" w:type="pct"/>
            <w:vAlign w:val="center"/>
          </w:tcPr>
          <w:p w14:paraId="1ECD7CC2">
            <w:pPr>
              <w:rPr>
                <w:rFonts w:ascii="仿宋" w:hAnsi="仿宋" w:eastAsia="仿宋" w:cs="Calibri"/>
                <w:color w:val="000000" w:themeColor="text1"/>
                <w:kern w:val="0"/>
                <w:sz w:val="24"/>
                <w14:textFill>
                  <w14:solidFill>
                    <w14:schemeClr w14:val="tx1"/>
                  </w14:solidFill>
                </w14:textFill>
              </w:rPr>
            </w:pPr>
          </w:p>
        </w:tc>
      </w:tr>
      <w:tr w14:paraId="22B3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40DE9584">
            <w:pPr>
              <w:rPr>
                <w:rFonts w:ascii="等线" w:hAnsi="等线" w:eastAsia="等线" w:cs="Times New Roman"/>
                <w:color w:val="000000"/>
                <w:sz w:val="22"/>
              </w:rPr>
            </w:pPr>
            <w:r>
              <w:rPr>
                <w:rFonts w:hint="eastAsia" w:ascii="等线" w:hAnsi="等线" w:eastAsia="等线" w:cs="Times New Roman"/>
                <w:color w:val="000000"/>
                <w:sz w:val="22"/>
              </w:rPr>
              <w:t>38</w:t>
            </w:r>
          </w:p>
        </w:tc>
        <w:tc>
          <w:tcPr>
            <w:tcW w:w="559" w:type="pct"/>
            <w:vAlign w:val="center"/>
          </w:tcPr>
          <w:p w14:paraId="361AAF63">
            <w:pPr>
              <w:jc w:val="center"/>
              <w:rPr>
                <w:rFonts w:ascii="仿宋" w:hAnsi="仿宋" w:eastAsia="仿宋" w:cs="Times New Roman"/>
                <w:sz w:val="24"/>
              </w:rPr>
            </w:pPr>
            <w:r>
              <w:rPr>
                <w:rFonts w:hint="eastAsia" w:ascii="仿宋" w:hAnsi="仿宋" w:eastAsia="仿宋" w:cs="Times New Roman"/>
                <w:sz w:val="24"/>
              </w:rPr>
              <w:t>突发公卫</w:t>
            </w:r>
          </w:p>
        </w:tc>
        <w:tc>
          <w:tcPr>
            <w:tcW w:w="772" w:type="pct"/>
          </w:tcPr>
          <w:p w14:paraId="38C738EA">
            <w:pPr>
              <w:rPr>
                <w:rFonts w:ascii="仿宋" w:hAnsi="仿宋" w:eastAsia="仿宋" w:cs="Times New Roman"/>
                <w:sz w:val="24"/>
              </w:rPr>
            </w:pPr>
          </w:p>
        </w:tc>
        <w:tc>
          <w:tcPr>
            <w:tcW w:w="2983" w:type="pct"/>
          </w:tcPr>
          <w:p w14:paraId="4DDF3B94">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对区域的突发公共卫生事件进行管理。</w:t>
            </w:r>
          </w:p>
        </w:tc>
        <w:tc>
          <w:tcPr>
            <w:tcW w:w="400" w:type="pct"/>
            <w:vAlign w:val="center"/>
          </w:tcPr>
          <w:p w14:paraId="07FD7D0D">
            <w:pPr>
              <w:rPr>
                <w:rFonts w:ascii="仿宋" w:hAnsi="仿宋" w:eastAsia="仿宋" w:cs="Calibri"/>
                <w:color w:val="000000" w:themeColor="text1"/>
                <w:kern w:val="0"/>
                <w:sz w:val="24"/>
                <w14:textFill>
                  <w14:solidFill>
                    <w14:schemeClr w14:val="tx1"/>
                  </w14:solidFill>
                </w14:textFill>
              </w:rPr>
            </w:pPr>
          </w:p>
        </w:tc>
      </w:tr>
      <w:tr w14:paraId="15F4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7E5A56F">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39</w:t>
            </w:r>
          </w:p>
        </w:tc>
        <w:tc>
          <w:tcPr>
            <w:tcW w:w="559" w:type="pct"/>
            <w:vMerge w:val="restart"/>
            <w:vAlign w:val="center"/>
          </w:tcPr>
          <w:p w14:paraId="7008848A">
            <w:pPr>
              <w:jc w:val="center"/>
              <w:rPr>
                <w:rFonts w:ascii="仿宋" w:hAnsi="仿宋" w:eastAsia="仿宋" w:cs="Times New Roman"/>
                <w:sz w:val="24"/>
              </w:rPr>
            </w:pPr>
            <w:r>
              <w:rPr>
                <w:rFonts w:hint="eastAsia" w:ascii="仿宋" w:hAnsi="仿宋" w:eastAsia="仿宋" w:cs="Times New Roman"/>
                <w:sz w:val="24"/>
              </w:rPr>
              <w:t>卫生监督</w:t>
            </w:r>
          </w:p>
        </w:tc>
        <w:tc>
          <w:tcPr>
            <w:tcW w:w="772" w:type="pct"/>
          </w:tcPr>
          <w:p w14:paraId="11D18D95">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地点维护</w:t>
            </w:r>
          </w:p>
        </w:tc>
        <w:tc>
          <w:tcPr>
            <w:tcW w:w="2983" w:type="pct"/>
          </w:tcPr>
          <w:p w14:paraId="2A80C854">
            <w:pPr>
              <w:tabs>
                <w:tab w:val="left" w:pos="2120"/>
              </w:tabs>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对需要进行巡查的地点进行管理。</w:t>
            </w:r>
          </w:p>
        </w:tc>
        <w:tc>
          <w:tcPr>
            <w:tcW w:w="400" w:type="pct"/>
            <w:vAlign w:val="center"/>
          </w:tcPr>
          <w:p w14:paraId="1245AC6E">
            <w:pPr>
              <w:rPr>
                <w:rFonts w:ascii="仿宋" w:hAnsi="仿宋" w:eastAsia="仿宋" w:cs="Calibri"/>
                <w:color w:val="000000" w:themeColor="text1"/>
                <w:kern w:val="0"/>
                <w:sz w:val="24"/>
                <w14:textFill>
                  <w14:solidFill>
                    <w14:schemeClr w14:val="tx1"/>
                  </w14:solidFill>
                </w14:textFill>
              </w:rPr>
            </w:pPr>
          </w:p>
        </w:tc>
      </w:tr>
      <w:tr w14:paraId="5C0F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3F2F08E">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40</w:t>
            </w:r>
          </w:p>
        </w:tc>
        <w:tc>
          <w:tcPr>
            <w:tcW w:w="559" w:type="pct"/>
            <w:vMerge w:val="continue"/>
            <w:vAlign w:val="center"/>
          </w:tcPr>
          <w:p w14:paraId="6A03352D">
            <w:pPr>
              <w:jc w:val="center"/>
              <w:rPr>
                <w:rFonts w:ascii="仿宋" w:hAnsi="仿宋" w:eastAsia="仿宋" w:cs="Times New Roman"/>
                <w:sz w:val="24"/>
              </w:rPr>
            </w:pPr>
          </w:p>
        </w:tc>
        <w:tc>
          <w:tcPr>
            <w:tcW w:w="772" w:type="pct"/>
          </w:tcPr>
          <w:p w14:paraId="181BE507">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巡查登记</w:t>
            </w:r>
          </w:p>
        </w:tc>
        <w:tc>
          <w:tcPr>
            <w:tcW w:w="2983" w:type="pct"/>
          </w:tcPr>
          <w:p w14:paraId="63A6594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对机构进行的卫生计生监督协管巡查进行管理。</w:t>
            </w:r>
          </w:p>
        </w:tc>
        <w:tc>
          <w:tcPr>
            <w:tcW w:w="400" w:type="pct"/>
            <w:vAlign w:val="center"/>
          </w:tcPr>
          <w:p w14:paraId="5D4FDE49">
            <w:pPr>
              <w:rPr>
                <w:rFonts w:ascii="仿宋" w:hAnsi="仿宋" w:eastAsia="仿宋" w:cs="Calibri"/>
                <w:color w:val="000000" w:themeColor="text1"/>
                <w:kern w:val="0"/>
                <w:sz w:val="24"/>
                <w14:textFill>
                  <w14:solidFill>
                    <w14:schemeClr w14:val="tx1"/>
                  </w14:solidFill>
                </w14:textFill>
              </w:rPr>
            </w:pPr>
          </w:p>
        </w:tc>
      </w:tr>
      <w:tr w14:paraId="0485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4BC7E30">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41</w:t>
            </w:r>
          </w:p>
        </w:tc>
        <w:tc>
          <w:tcPr>
            <w:tcW w:w="559" w:type="pct"/>
            <w:vMerge w:val="continue"/>
            <w:vAlign w:val="center"/>
          </w:tcPr>
          <w:p w14:paraId="5E41D9F7">
            <w:pPr>
              <w:jc w:val="center"/>
              <w:rPr>
                <w:rFonts w:ascii="仿宋" w:hAnsi="仿宋" w:eastAsia="仿宋" w:cs="Times New Roman"/>
                <w:sz w:val="24"/>
              </w:rPr>
            </w:pPr>
          </w:p>
        </w:tc>
        <w:tc>
          <w:tcPr>
            <w:tcW w:w="772" w:type="pct"/>
          </w:tcPr>
          <w:p w14:paraId="1F53D377">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事件报告</w:t>
            </w:r>
          </w:p>
        </w:tc>
        <w:tc>
          <w:tcPr>
            <w:tcW w:w="2983" w:type="pct"/>
          </w:tcPr>
          <w:p w14:paraId="602569B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对机构进行的卫生计生监督协管信息报告进行管理。</w:t>
            </w:r>
          </w:p>
        </w:tc>
        <w:tc>
          <w:tcPr>
            <w:tcW w:w="400" w:type="pct"/>
            <w:vAlign w:val="center"/>
          </w:tcPr>
          <w:p w14:paraId="690F2181">
            <w:pPr>
              <w:rPr>
                <w:rFonts w:ascii="仿宋" w:hAnsi="仿宋" w:eastAsia="仿宋" w:cs="Calibri"/>
                <w:color w:val="000000" w:themeColor="text1"/>
                <w:kern w:val="0"/>
                <w:sz w:val="24"/>
                <w14:textFill>
                  <w14:solidFill>
                    <w14:schemeClr w14:val="tx1"/>
                  </w14:solidFill>
                </w14:textFill>
              </w:rPr>
            </w:pPr>
          </w:p>
        </w:tc>
      </w:tr>
      <w:tr w14:paraId="3442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BB3F419">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42</w:t>
            </w:r>
          </w:p>
        </w:tc>
        <w:tc>
          <w:tcPr>
            <w:tcW w:w="559" w:type="pct"/>
            <w:vMerge w:val="restart"/>
            <w:vAlign w:val="center"/>
          </w:tcPr>
          <w:p w14:paraId="31A827A5">
            <w:pPr>
              <w:jc w:val="center"/>
              <w:rPr>
                <w:rFonts w:ascii="仿宋" w:hAnsi="仿宋" w:eastAsia="仿宋" w:cs="Times New Roman"/>
                <w:sz w:val="24"/>
              </w:rPr>
            </w:pPr>
            <w:r>
              <w:rPr>
                <w:rFonts w:hint="eastAsia" w:ascii="仿宋" w:hAnsi="仿宋" w:eastAsia="仿宋" w:cs="Times New Roman"/>
                <w:sz w:val="24"/>
              </w:rPr>
              <w:t>疾病报卡</w:t>
            </w:r>
          </w:p>
        </w:tc>
        <w:tc>
          <w:tcPr>
            <w:tcW w:w="772" w:type="pct"/>
          </w:tcPr>
          <w:p w14:paraId="1B05A023">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传染病报卡</w:t>
            </w:r>
          </w:p>
        </w:tc>
        <w:tc>
          <w:tcPr>
            <w:tcW w:w="2983" w:type="pct"/>
          </w:tcPr>
          <w:p w14:paraId="5D9CDB32">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对传染病报告卡进行管理。</w:t>
            </w:r>
          </w:p>
        </w:tc>
        <w:tc>
          <w:tcPr>
            <w:tcW w:w="400" w:type="pct"/>
            <w:vAlign w:val="center"/>
          </w:tcPr>
          <w:p w14:paraId="5BE9D29F">
            <w:pPr>
              <w:rPr>
                <w:rFonts w:ascii="仿宋" w:hAnsi="仿宋" w:eastAsia="仿宋" w:cs="Calibri"/>
                <w:color w:val="000000" w:themeColor="text1"/>
                <w:kern w:val="0"/>
                <w:sz w:val="24"/>
                <w14:textFill>
                  <w14:solidFill>
                    <w14:schemeClr w14:val="tx1"/>
                  </w14:solidFill>
                </w14:textFill>
              </w:rPr>
            </w:pPr>
          </w:p>
        </w:tc>
      </w:tr>
      <w:tr w14:paraId="6F98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4FA18DE3">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43</w:t>
            </w:r>
          </w:p>
        </w:tc>
        <w:tc>
          <w:tcPr>
            <w:tcW w:w="559" w:type="pct"/>
            <w:vMerge w:val="continue"/>
            <w:vAlign w:val="center"/>
          </w:tcPr>
          <w:p w14:paraId="03CD2F5C">
            <w:pPr>
              <w:jc w:val="center"/>
              <w:rPr>
                <w:rFonts w:ascii="仿宋" w:hAnsi="仿宋" w:eastAsia="仿宋" w:cs="Times New Roman"/>
                <w:sz w:val="24"/>
              </w:rPr>
            </w:pPr>
          </w:p>
        </w:tc>
        <w:tc>
          <w:tcPr>
            <w:tcW w:w="772" w:type="pct"/>
          </w:tcPr>
          <w:p w14:paraId="719E937E">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早孕报告卡</w:t>
            </w:r>
          </w:p>
        </w:tc>
        <w:tc>
          <w:tcPr>
            <w:tcW w:w="2983" w:type="pct"/>
          </w:tcPr>
          <w:p w14:paraId="2B4C0C89">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对早孕报告卡进行管理。</w:t>
            </w:r>
          </w:p>
        </w:tc>
        <w:tc>
          <w:tcPr>
            <w:tcW w:w="400" w:type="pct"/>
            <w:vAlign w:val="center"/>
          </w:tcPr>
          <w:p w14:paraId="235E315D">
            <w:pPr>
              <w:rPr>
                <w:rFonts w:ascii="仿宋" w:hAnsi="仿宋" w:eastAsia="仿宋" w:cs="Calibri"/>
                <w:color w:val="000000" w:themeColor="text1"/>
                <w:kern w:val="0"/>
                <w:sz w:val="24"/>
                <w14:textFill>
                  <w14:solidFill>
                    <w14:schemeClr w14:val="tx1"/>
                  </w14:solidFill>
                </w14:textFill>
              </w:rPr>
            </w:pPr>
          </w:p>
        </w:tc>
      </w:tr>
      <w:tr w14:paraId="24247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77094789">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44</w:t>
            </w:r>
          </w:p>
        </w:tc>
        <w:tc>
          <w:tcPr>
            <w:tcW w:w="559" w:type="pct"/>
            <w:vMerge w:val="continue"/>
            <w:vAlign w:val="center"/>
          </w:tcPr>
          <w:p w14:paraId="3A0A50CD">
            <w:pPr>
              <w:jc w:val="center"/>
              <w:rPr>
                <w:rFonts w:ascii="仿宋" w:hAnsi="仿宋" w:eastAsia="仿宋" w:cs="Times New Roman"/>
                <w:sz w:val="24"/>
              </w:rPr>
            </w:pPr>
          </w:p>
        </w:tc>
        <w:tc>
          <w:tcPr>
            <w:tcW w:w="772" w:type="pct"/>
          </w:tcPr>
          <w:p w14:paraId="38CA9008">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慢病报告卡</w:t>
            </w:r>
          </w:p>
        </w:tc>
        <w:tc>
          <w:tcPr>
            <w:tcW w:w="2983" w:type="pct"/>
          </w:tcPr>
          <w:p w14:paraId="7E3109E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对慢病报告卡进行管理。</w:t>
            </w:r>
          </w:p>
        </w:tc>
        <w:tc>
          <w:tcPr>
            <w:tcW w:w="400" w:type="pct"/>
            <w:vAlign w:val="center"/>
          </w:tcPr>
          <w:p w14:paraId="1556205E">
            <w:pPr>
              <w:rPr>
                <w:rFonts w:ascii="仿宋" w:hAnsi="仿宋" w:eastAsia="仿宋" w:cs="Calibri"/>
                <w:color w:val="000000" w:themeColor="text1"/>
                <w:kern w:val="0"/>
                <w:sz w:val="24"/>
                <w14:textFill>
                  <w14:solidFill>
                    <w14:schemeClr w14:val="tx1"/>
                  </w14:solidFill>
                </w14:textFill>
              </w:rPr>
            </w:pPr>
          </w:p>
        </w:tc>
      </w:tr>
      <w:tr w14:paraId="58F5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74772E1">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45</w:t>
            </w:r>
          </w:p>
        </w:tc>
        <w:tc>
          <w:tcPr>
            <w:tcW w:w="559" w:type="pct"/>
            <w:vMerge w:val="restart"/>
            <w:vAlign w:val="center"/>
          </w:tcPr>
          <w:p w14:paraId="3B0F0552">
            <w:pPr>
              <w:jc w:val="center"/>
              <w:rPr>
                <w:rFonts w:ascii="仿宋" w:hAnsi="仿宋" w:eastAsia="仿宋" w:cs="Times New Roman"/>
                <w:sz w:val="24"/>
              </w:rPr>
            </w:pPr>
            <w:r>
              <w:rPr>
                <w:rFonts w:hint="eastAsia" w:ascii="仿宋" w:hAnsi="仿宋" w:eastAsia="仿宋" w:cs="Times New Roman"/>
                <w:sz w:val="24"/>
              </w:rPr>
              <w:t>三网监测</w:t>
            </w:r>
          </w:p>
        </w:tc>
        <w:tc>
          <w:tcPr>
            <w:tcW w:w="772" w:type="pct"/>
          </w:tcPr>
          <w:p w14:paraId="4A4BDDA0">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孕产妇死亡管理</w:t>
            </w:r>
          </w:p>
        </w:tc>
        <w:tc>
          <w:tcPr>
            <w:tcW w:w="2983" w:type="pct"/>
          </w:tcPr>
          <w:p w14:paraId="044306B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对孕产妇死亡进行管理。</w:t>
            </w:r>
          </w:p>
        </w:tc>
        <w:tc>
          <w:tcPr>
            <w:tcW w:w="400" w:type="pct"/>
            <w:vAlign w:val="center"/>
          </w:tcPr>
          <w:p w14:paraId="29C07FDA">
            <w:pPr>
              <w:rPr>
                <w:rFonts w:ascii="仿宋" w:hAnsi="仿宋" w:eastAsia="仿宋" w:cs="Calibri"/>
                <w:color w:val="000000" w:themeColor="text1"/>
                <w:kern w:val="0"/>
                <w:sz w:val="24"/>
                <w14:textFill>
                  <w14:solidFill>
                    <w14:schemeClr w14:val="tx1"/>
                  </w14:solidFill>
                </w14:textFill>
              </w:rPr>
            </w:pPr>
          </w:p>
        </w:tc>
      </w:tr>
      <w:tr w14:paraId="26D4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86" w:type="pct"/>
            <w:vAlign w:val="bottom"/>
          </w:tcPr>
          <w:p w14:paraId="5EA5D0E4">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46</w:t>
            </w:r>
          </w:p>
        </w:tc>
        <w:tc>
          <w:tcPr>
            <w:tcW w:w="559" w:type="pct"/>
            <w:vMerge w:val="continue"/>
            <w:vAlign w:val="center"/>
          </w:tcPr>
          <w:p w14:paraId="1A4BADD8">
            <w:pPr>
              <w:jc w:val="center"/>
              <w:rPr>
                <w:rFonts w:ascii="仿宋" w:hAnsi="仿宋" w:eastAsia="仿宋" w:cs="Times New Roman"/>
                <w:sz w:val="24"/>
              </w:rPr>
            </w:pPr>
          </w:p>
        </w:tc>
        <w:tc>
          <w:tcPr>
            <w:tcW w:w="772" w:type="pct"/>
          </w:tcPr>
          <w:p w14:paraId="64590A56">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围产儿死亡管理</w:t>
            </w:r>
          </w:p>
        </w:tc>
        <w:tc>
          <w:tcPr>
            <w:tcW w:w="2983" w:type="pct"/>
          </w:tcPr>
          <w:p w14:paraId="519F61F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对围产儿死亡进行管理。</w:t>
            </w:r>
          </w:p>
        </w:tc>
        <w:tc>
          <w:tcPr>
            <w:tcW w:w="400" w:type="pct"/>
            <w:vAlign w:val="center"/>
          </w:tcPr>
          <w:p w14:paraId="46E6FF12">
            <w:pPr>
              <w:rPr>
                <w:rFonts w:ascii="仿宋" w:hAnsi="仿宋" w:eastAsia="仿宋" w:cs="Calibri"/>
                <w:color w:val="000000" w:themeColor="text1"/>
                <w:kern w:val="0"/>
                <w:sz w:val="24"/>
                <w14:textFill>
                  <w14:solidFill>
                    <w14:schemeClr w14:val="tx1"/>
                  </w14:solidFill>
                </w14:textFill>
              </w:rPr>
            </w:pPr>
          </w:p>
        </w:tc>
      </w:tr>
      <w:tr w14:paraId="0904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7BD822D">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47</w:t>
            </w:r>
          </w:p>
        </w:tc>
        <w:tc>
          <w:tcPr>
            <w:tcW w:w="559" w:type="pct"/>
            <w:vMerge w:val="continue"/>
            <w:vAlign w:val="center"/>
          </w:tcPr>
          <w:p w14:paraId="6C37E8F6">
            <w:pPr>
              <w:jc w:val="center"/>
              <w:rPr>
                <w:rFonts w:ascii="仿宋" w:hAnsi="仿宋" w:eastAsia="仿宋" w:cs="Times New Roman"/>
                <w:sz w:val="24"/>
              </w:rPr>
            </w:pPr>
          </w:p>
        </w:tc>
        <w:tc>
          <w:tcPr>
            <w:tcW w:w="772" w:type="pct"/>
          </w:tcPr>
          <w:p w14:paraId="37F125CC">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新生缺陷管理</w:t>
            </w:r>
          </w:p>
        </w:tc>
        <w:tc>
          <w:tcPr>
            <w:tcW w:w="2983" w:type="pct"/>
          </w:tcPr>
          <w:p w14:paraId="34558A41">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对新生儿缺陷进行管理。</w:t>
            </w:r>
          </w:p>
        </w:tc>
        <w:tc>
          <w:tcPr>
            <w:tcW w:w="400" w:type="pct"/>
            <w:vAlign w:val="center"/>
          </w:tcPr>
          <w:p w14:paraId="77AED3EB">
            <w:pPr>
              <w:rPr>
                <w:rFonts w:ascii="仿宋" w:hAnsi="仿宋" w:eastAsia="仿宋" w:cs="Calibri"/>
                <w:color w:val="000000" w:themeColor="text1"/>
                <w:kern w:val="0"/>
                <w:sz w:val="24"/>
                <w14:textFill>
                  <w14:solidFill>
                    <w14:schemeClr w14:val="tx1"/>
                  </w14:solidFill>
                </w14:textFill>
              </w:rPr>
            </w:pPr>
          </w:p>
        </w:tc>
      </w:tr>
      <w:tr w14:paraId="6FA2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7C0AAF2">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48</w:t>
            </w:r>
          </w:p>
        </w:tc>
        <w:tc>
          <w:tcPr>
            <w:tcW w:w="559" w:type="pct"/>
            <w:vMerge w:val="continue"/>
            <w:vAlign w:val="center"/>
          </w:tcPr>
          <w:p w14:paraId="656AFCE6">
            <w:pPr>
              <w:jc w:val="center"/>
              <w:rPr>
                <w:rFonts w:ascii="仿宋" w:hAnsi="仿宋" w:eastAsia="仿宋" w:cs="Times New Roman"/>
                <w:sz w:val="24"/>
              </w:rPr>
            </w:pPr>
          </w:p>
        </w:tc>
        <w:tc>
          <w:tcPr>
            <w:tcW w:w="772" w:type="pct"/>
          </w:tcPr>
          <w:p w14:paraId="5474EE7A">
            <w:pPr>
              <w:rPr>
                <w:rFonts w:ascii="仿宋" w:hAnsi="仿宋" w:eastAsia="仿宋" w:cs="Times New Roman"/>
                <w:sz w:val="24"/>
                <w:lang w:eastAsia="zh-Hans"/>
              </w:rPr>
            </w:pPr>
            <w:r>
              <w:rPr>
                <w:rFonts w:hint="eastAsia" w:ascii="仿宋" w:hAnsi="仿宋" w:eastAsia="仿宋" w:cs="Calibri"/>
                <w:color w:val="000000" w:themeColor="text1"/>
                <w:kern w:val="0"/>
                <w:sz w:val="24"/>
                <w14:textFill>
                  <w14:solidFill>
                    <w14:schemeClr w14:val="tx1"/>
                  </w14:solidFill>
                </w14:textFill>
              </w:rPr>
              <w:t>儿童死亡管理</w:t>
            </w:r>
          </w:p>
        </w:tc>
        <w:tc>
          <w:tcPr>
            <w:tcW w:w="2983" w:type="pct"/>
          </w:tcPr>
          <w:p w14:paraId="01A5BEDC">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对儿童死亡进行管理。</w:t>
            </w:r>
          </w:p>
        </w:tc>
        <w:tc>
          <w:tcPr>
            <w:tcW w:w="400" w:type="pct"/>
            <w:vAlign w:val="center"/>
          </w:tcPr>
          <w:p w14:paraId="4B1B413F">
            <w:pPr>
              <w:rPr>
                <w:rFonts w:ascii="仿宋" w:hAnsi="仿宋" w:eastAsia="仿宋" w:cs="Calibri"/>
                <w:color w:val="000000" w:themeColor="text1"/>
                <w:kern w:val="0"/>
                <w:sz w:val="24"/>
                <w14:textFill>
                  <w14:solidFill>
                    <w14:schemeClr w14:val="tx1"/>
                  </w14:solidFill>
                </w14:textFill>
              </w:rPr>
            </w:pPr>
          </w:p>
        </w:tc>
      </w:tr>
      <w:tr w14:paraId="09E8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7FDE62C5">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49</w:t>
            </w:r>
          </w:p>
        </w:tc>
        <w:tc>
          <w:tcPr>
            <w:tcW w:w="559" w:type="pct"/>
            <w:vAlign w:val="center"/>
          </w:tcPr>
          <w:p w14:paraId="11800AB8">
            <w:pPr>
              <w:jc w:val="center"/>
              <w:rPr>
                <w:rFonts w:ascii="仿宋" w:hAnsi="仿宋" w:eastAsia="仿宋" w:cs="Times New Roman"/>
                <w:sz w:val="24"/>
              </w:rPr>
            </w:pPr>
            <w:r>
              <w:rPr>
                <w:rFonts w:hint="eastAsia" w:ascii="仿宋" w:hAnsi="仿宋" w:eastAsia="仿宋" w:cs="Times New Roman"/>
                <w:sz w:val="24"/>
              </w:rPr>
              <w:t>辖区统计</w:t>
            </w:r>
          </w:p>
        </w:tc>
        <w:tc>
          <w:tcPr>
            <w:tcW w:w="772" w:type="pct"/>
            <w:vAlign w:val="center"/>
          </w:tcPr>
          <w:p w14:paraId="7827DEBA">
            <w:pPr>
              <w:rPr>
                <w:rFonts w:ascii="仿宋" w:hAnsi="仿宋" w:eastAsia="仿宋" w:cs="Times New Roman"/>
                <w:sz w:val="24"/>
                <w:lang w:eastAsia="zh-Hans"/>
              </w:rPr>
            </w:pPr>
          </w:p>
        </w:tc>
        <w:tc>
          <w:tcPr>
            <w:tcW w:w="2983" w:type="pct"/>
          </w:tcPr>
          <w:p w14:paraId="2ADC9A7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按照机构展示其辖区内的居民信息统计明细。</w:t>
            </w:r>
          </w:p>
        </w:tc>
        <w:tc>
          <w:tcPr>
            <w:tcW w:w="400" w:type="pct"/>
            <w:vAlign w:val="center"/>
          </w:tcPr>
          <w:p w14:paraId="6FA78D66">
            <w:pPr>
              <w:rPr>
                <w:rFonts w:ascii="仿宋" w:hAnsi="仿宋" w:eastAsia="仿宋" w:cs="Calibri"/>
                <w:color w:val="000000" w:themeColor="text1"/>
                <w:kern w:val="0"/>
                <w:sz w:val="24"/>
                <w14:textFill>
                  <w14:solidFill>
                    <w14:schemeClr w14:val="tx1"/>
                  </w14:solidFill>
                </w14:textFill>
              </w:rPr>
            </w:pPr>
          </w:p>
        </w:tc>
      </w:tr>
      <w:tr w14:paraId="557F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26D3146">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50</w:t>
            </w:r>
          </w:p>
        </w:tc>
        <w:tc>
          <w:tcPr>
            <w:tcW w:w="559" w:type="pct"/>
            <w:vMerge w:val="restart"/>
            <w:vAlign w:val="center"/>
          </w:tcPr>
          <w:p w14:paraId="22081463">
            <w:pPr>
              <w:jc w:val="center"/>
              <w:rPr>
                <w:rFonts w:ascii="仿宋" w:hAnsi="仿宋" w:eastAsia="仿宋" w:cs="Times New Roman"/>
                <w:sz w:val="24"/>
              </w:rPr>
            </w:pPr>
            <w:r>
              <w:rPr>
                <w:rFonts w:hint="eastAsia" w:ascii="仿宋" w:hAnsi="仿宋" w:eastAsia="仿宋" w:cs="Times New Roman"/>
                <w:sz w:val="24"/>
              </w:rPr>
              <w:t>系统设置</w:t>
            </w:r>
          </w:p>
        </w:tc>
        <w:tc>
          <w:tcPr>
            <w:tcW w:w="772" w:type="pct"/>
            <w:vAlign w:val="center"/>
          </w:tcPr>
          <w:p w14:paraId="2B02D828">
            <w:pPr>
              <w:rPr>
                <w:rFonts w:ascii="仿宋" w:hAnsi="仿宋" w:eastAsia="仿宋" w:cs="Times New Roman"/>
                <w:sz w:val="24"/>
              </w:rPr>
            </w:pPr>
            <w:r>
              <w:rPr>
                <w:rFonts w:hint="eastAsia" w:ascii="仿宋" w:hAnsi="仿宋" w:eastAsia="仿宋" w:cs="Times New Roman"/>
                <w:sz w:val="24"/>
              </w:rPr>
              <w:t>辖区管理</w:t>
            </w:r>
          </w:p>
        </w:tc>
        <w:tc>
          <w:tcPr>
            <w:tcW w:w="2983" w:type="pct"/>
          </w:tcPr>
          <w:p w14:paraId="7C8C75AB">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对各个区域管理的居民的基础信息进行维护。</w:t>
            </w:r>
          </w:p>
        </w:tc>
        <w:tc>
          <w:tcPr>
            <w:tcW w:w="400" w:type="pct"/>
            <w:vAlign w:val="center"/>
          </w:tcPr>
          <w:p w14:paraId="42586DF6">
            <w:pPr>
              <w:rPr>
                <w:rFonts w:ascii="仿宋" w:hAnsi="仿宋" w:eastAsia="仿宋" w:cs="Calibri"/>
                <w:color w:val="000000" w:themeColor="text1"/>
                <w:kern w:val="0"/>
                <w:sz w:val="24"/>
                <w14:textFill>
                  <w14:solidFill>
                    <w14:schemeClr w14:val="tx1"/>
                  </w14:solidFill>
                </w14:textFill>
              </w:rPr>
            </w:pPr>
          </w:p>
        </w:tc>
      </w:tr>
      <w:tr w14:paraId="1BD73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853C92C">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51</w:t>
            </w:r>
          </w:p>
        </w:tc>
        <w:tc>
          <w:tcPr>
            <w:tcW w:w="559" w:type="pct"/>
            <w:vMerge w:val="continue"/>
            <w:vAlign w:val="center"/>
          </w:tcPr>
          <w:p w14:paraId="215988CF">
            <w:pPr>
              <w:jc w:val="center"/>
              <w:rPr>
                <w:rFonts w:ascii="仿宋" w:hAnsi="仿宋" w:eastAsia="仿宋" w:cs="Times New Roman"/>
                <w:sz w:val="24"/>
              </w:rPr>
            </w:pPr>
          </w:p>
        </w:tc>
        <w:tc>
          <w:tcPr>
            <w:tcW w:w="772" w:type="pct"/>
            <w:vAlign w:val="center"/>
          </w:tcPr>
          <w:p w14:paraId="02E22F4A">
            <w:pPr>
              <w:rPr>
                <w:rFonts w:ascii="仿宋" w:hAnsi="仿宋" w:eastAsia="仿宋" w:cs="Times New Roman"/>
                <w:sz w:val="24"/>
              </w:rPr>
            </w:pPr>
            <w:r>
              <w:rPr>
                <w:rFonts w:hint="eastAsia" w:ascii="仿宋" w:hAnsi="仿宋" w:eastAsia="仿宋" w:cs="Times New Roman"/>
                <w:sz w:val="24"/>
              </w:rPr>
              <w:t>业务模块管理</w:t>
            </w:r>
          </w:p>
        </w:tc>
        <w:tc>
          <w:tcPr>
            <w:tcW w:w="2983" w:type="pct"/>
          </w:tcPr>
          <w:p w14:paraId="7AE66658">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建立健康指导模板、老年人中医指导模板、儿童中医指导模板、中医保健模板，以便其使用时直接引用。</w:t>
            </w:r>
          </w:p>
        </w:tc>
        <w:tc>
          <w:tcPr>
            <w:tcW w:w="400" w:type="pct"/>
            <w:vAlign w:val="center"/>
          </w:tcPr>
          <w:p w14:paraId="4D359663">
            <w:pPr>
              <w:rPr>
                <w:rFonts w:ascii="仿宋" w:hAnsi="仿宋" w:eastAsia="仿宋" w:cs="Calibri"/>
                <w:color w:val="000000" w:themeColor="text1"/>
                <w:kern w:val="0"/>
                <w:sz w:val="24"/>
                <w14:textFill>
                  <w14:solidFill>
                    <w14:schemeClr w14:val="tx1"/>
                  </w14:solidFill>
                </w14:textFill>
              </w:rPr>
            </w:pPr>
          </w:p>
        </w:tc>
      </w:tr>
      <w:tr w14:paraId="1F9A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59A8A02">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52</w:t>
            </w:r>
          </w:p>
        </w:tc>
        <w:tc>
          <w:tcPr>
            <w:tcW w:w="559" w:type="pct"/>
            <w:vMerge w:val="continue"/>
            <w:vAlign w:val="center"/>
          </w:tcPr>
          <w:p w14:paraId="24AD4558">
            <w:pPr>
              <w:jc w:val="center"/>
              <w:rPr>
                <w:rFonts w:ascii="仿宋" w:hAnsi="仿宋" w:eastAsia="仿宋" w:cs="Times New Roman"/>
                <w:sz w:val="24"/>
              </w:rPr>
            </w:pPr>
          </w:p>
        </w:tc>
        <w:tc>
          <w:tcPr>
            <w:tcW w:w="772" w:type="pct"/>
            <w:vAlign w:val="center"/>
          </w:tcPr>
          <w:p w14:paraId="264A19E9">
            <w:pPr>
              <w:rPr>
                <w:rFonts w:ascii="仿宋" w:hAnsi="仿宋" w:eastAsia="仿宋" w:cs="Times New Roman"/>
                <w:sz w:val="24"/>
              </w:rPr>
            </w:pPr>
            <w:r>
              <w:rPr>
                <w:rFonts w:hint="eastAsia" w:ascii="仿宋" w:hAnsi="仿宋" w:eastAsia="仿宋" w:cs="Times New Roman"/>
                <w:sz w:val="24"/>
              </w:rPr>
              <w:t>系统参数管理</w:t>
            </w:r>
          </w:p>
        </w:tc>
        <w:tc>
          <w:tcPr>
            <w:tcW w:w="2983" w:type="pct"/>
          </w:tcPr>
          <w:p w14:paraId="5000E9EA">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在认证参数管理中，区域为机构设置业务的认证时间。在随访参数维护中，对系统中涉及的随访进行相应的参数维护。在指标参数维护中，对首页指标的展示情况进行设置。在辖区统计维护中，按照用户的使用情况，自行选择展示相应的居民信息明细。</w:t>
            </w:r>
          </w:p>
        </w:tc>
        <w:tc>
          <w:tcPr>
            <w:tcW w:w="400" w:type="pct"/>
            <w:vAlign w:val="center"/>
          </w:tcPr>
          <w:p w14:paraId="7BF275B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64AC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C1E02C9">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53</w:t>
            </w:r>
          </w:p>
        </w:tc>
        <w:tc>
          <w:tcPr>
            <w:tcW w:w="559" w:type="pct"/>
            <w:vMerge w:val="continue"/>
            <w:vAlign w:val="center"/>
          </w:tcPr>
          <w:p w14:paraId="065DCCCA">
            <w:pPr>
              <w:jc w:val="center"/>
              <w:rPr>
                <w:rFonts w:ascii="仿宋" w:hAnsi="仿宋" w:eastAsia="仿宋" w:cs="Times New Roman"/>
                <w:sz w:val="24"/>
              </w:rPr>
            </w:pPr>
          </w:p>
        </w:tc>
        <w:tc>
          <w:tcPr>
            <w:tcW w:w="772" w:type="pct"/>
            <w:vAlign w:val="center"/>
          </w:tcPr>
          <w:p w14:paraId="578606D9">
            <w:pPr>
              <w:rPr>
                <w:rFonts w:ascii="仿宋" w:hAnsi="仿宋" w:eastAsia="仿宋" w:cs="Times New Roman"/>
                <w:sz w:val="24"/>
              </w:rPr>
            </w:pPr>
            <w:r>
              <w:rPr>
                <w:rFonts w:hint="eastAsia" w:ascii="仿宋" w:hAnsi="仿宋" w:eastAsia="仿宋" w:cs="Times New Roman"/>
                <w:sz w:val="24"/>
              </w:rPr>
              <w:t>补助管理</w:t>
            </w:r>
          </w:p>
        </w:tc>
        <w:tc>
          <w:tcPr>
            <w:tcW w:w="2983" w:type="pct"/>
          </w:tcPr>
          <w:p w14:paraId="43870DB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对相应的公卫业务进行金额设置。</w:t>
            </w:r>
          </w:p>
        </w:tc>
        <w:tc>
          <w:tcPr>
            <w:tcW w:w="400" w:type="pct"/>
            <w:vAlign w:val="center"/>
          </w:tcPr>
          <w:p w14:paraId="5A36000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33EA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DA565CA">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54</w:t>
            </w:r>
          </w:p>
        </w:tc>
        <w:tc>
          <w:tcPr>
            <w:tcW w:w="559" w:type="pct"/>
            <w:vMerge w:val="continue"/>
            <w:vAlign w:val="center"/>
          </w:tcPr>
          <w:p w14:paraId="3D3EBCE4">
            <w:pPr>
              <w:jc w:val="center"/>
              <w:rPr>
                <w:rFonts w:ascii="仿宋" w:hAnsi="仿宋" w:eastAsia="仿宋" w:cs="Times New Roman"/>
                <w:sz w:val="24"/>
              </w:rPr>
            </w:pPr>
          </w:p>
        </w:tc>
        <w:tc>
          <w:tcPr>
            <w:tcW w:w="772" w:type="pct"/>
            <w:vAlign w:val="center"/>
          </w:tcPr>
          <w:p w14:paraId="2AE14DBF">
            <w:pPr>
              <w:rPr>
                <w:rFonts w:ascii="仿宋" w:hAnsi="仿宋" w:eastAsia="仿宋" w:cs="Times New Roman"/>
                <w:sz w:val="24"/>
              </w:rPr>
            </w:pPr>
            <w:r>
              <w:rPr>
                <w:rFonts w:hint="eastAsia" w:ascii="仿宋" w:hAnsi="仿宋" w:eastAsia="仿宋" w:cs="Times New Roman"/>
                <w:sz w:val="24"/>
              </w:rPr>
              <w:t>疾病诊疗设置</w:t>
            </w:r>
          </w:p>
        </w:tc>
        <w:tc>
          <w:tcPr>
            <w:tcW w:w="2983" w:type="pct"/>
          </w:tcPr>
          <w:p w14:paraId="54A8BE3C">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将I</w:t>
            </w:r>
            <w:r>
              <w:rPr>
                <w:rFonts w:ascii="仿宋" w:hAnsi="仿宋" w:eastAsia="仿宋" w:cs="Calibri"/>
                <w:color w:val="000000" w:themeColor="text1"/>
                <w:kern w:val="0"/>
                <w:sz w:val="24"/>
                <w14:textFill>
                  <w14:solidFill>
                    <w14:schemeClr w14:val="tx1"/>
                  </w14:solidFill>
                </w14:textFill>
              </w:rPr>
              <w:t>CD-10</w:t>
            </w:r>
            <w:r>
              <w:rPr>
                <w:rFonts w:hint="eastAsia" w:ascii="仿宋" w:hAnsi="仿宋" w:eastAsia="仿宋" w:cs="Calibri"/>
                <w:color w:val="000000" w:themeColor="text1"/>
                <w:kern w:val="0"/>
                <w:sz w:val="24"/>
                <w14:textFill>
                  <w14:solidFill>
                    <w14:schemeClr w14:val="tx1"/>
                  </w14:solidFill>
                </w14:textFill>
              </w:rPr>
              <w:t>的疾病与公卫的相应疾病进行对照，对照后，基层医疗可传递I</w:t>
            </w:r>
            <w:r>
              <w:rPr>
                <w:rFonts w:ascii="仿宋" w:hAnsi="仿宋" w:eastAsia="仿宋" w:cs="Calibri"/>
                <w:color w:val="000000" w:themeColor="text1"/>
                <w:kern w:val="0"/>
                <w:sz w:val="24"/>
                <w14:textFill>
                  <w14:solidFill>
                    <w14:schemeClr w14:val="tx1"/>
                  </w14:solidFill>
                </w14:textFill>
              </w:rPr>
              <w:t>CD10</w:t>
            </w:r>
            <w:r>
              <w:rPr>
                <w:rFonts w:hint="eastAsia" w:ascii="仿宋" w:hAnsi="仿宋" w:eastAsia="仿宋" w:cs="Calibri"/>
                <w:color w:val="000000" w:themeColor="text1"/>
                <w:kern w:val="0"/>
                <w:sz w:val="24"/>
                <w14:textFill>
                  <w14:solidFill>
                    <w14:schemeClr w14:val="tx1"/>
                  </w14:solidFill>
                </w14:textFill>
              </w:rPr>
              <w:t>编码对应公卫相应的疾病。</w:t>
            </w:r>
          </w:p>
        </w:tc>
        <w:tc>
          <w:tcPr>
            <w:tcW w:w="400" w:type="pct"/>
            <w:vAlign w:val="center"/>
          </w:tcPr>
          <w:p w14:paraId="13260067">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5950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414AA0D9">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55</w:t>
            </w:r>
          </w:p>
        </w:tc>
        <w:tc>
          <w:tcPr>
            <w:tcW w:w="559" w:type="pct"/>
            <w:vMerge w:val="continue"/>
            <w:vAlign w:val="center"/>
          </w:tcPr>
          <w:p w14:paraId="67098A35">
            <w:pPr>
              <w:jc w:val="center"/>
              <w:rPr>
                <w:rFonts w:ascii="仿宋" w:hAnsi="仿宋" w:eastAsia="仿宋" w:cs="Times New Roman"/>
                <w:sz w:val="24"/>
              </w:rPr>
            </w:pPr>
          </w:p>
        </w:tc>
        <w:tc>
          <w:tcPr>
            <w:tcW w:w="772" w:type="pct"/>
            <w:vAlign w:val="center"/>
          </w:tcPr>
          <w:p w14:paraId="74080A3D">
            <w:pPr>
              <w:rPr>
                <w:rFonts w:ascii="仿宋" w:hAnsi="仿宋" w:eastAsia="仿宋" w:cs="Times New Roman"/>
                <w:sz w:val="24"/>
              </w:rPr>
            </w:pPr>
            <w:r>
              <w:rPr>
                <w:rFonts w:hint="eastAsia" w:ascii="仿宋" w:hAnsi="仿宋" w:eastAsia="仿宋" w:cs="Times New Roman"/>
                <w:sz w:val="24"/>
              </w:rPr>
              <w:t>基本参数维护</w:t>
            </w:r>
          </w:p>
        </w:tc>
        <w:tc>
          <w:tcPr>
            <w:tcW w:w="2983" w:type="pct"/>
          </w:tcPr>
          <w:p w14:paraId="7F73BFDD">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对系统的基本信息进行维护，涉及年龄、迁移审核等内容。</w:t>
            </w:r>
          </w:p>
        </w:tc>
        <w:tc>
          <w:tcPr>
            <w:tcW w:w="400" w:type="pct"/>
            <w:vAlign w:val="center"/>
          </w:tcPr>
          <w:p w14:paraId="37FF5443">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5641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5A4D3D8">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56</w:t>
            </w:r>
          </w:p>
        </w:tc>
        <w:tc>
          <w:tcPr>
            <w:tcW w:w="559" w:type="pct"/>
            <w:vMerge w:val="continue"/>
            <w:vAlign w:val="center"/>
          </w:tcPr>
          <w:p w14:paraId="0F5FC709">
            <w:pPr>
              <w:jc w:val="center"/>
              <w:rPr>
                <w:rFonts w:ascii="仿宋" w:hAnsi="仿宋" w:eastAsia="仿宋" w:cs="Times New Roman"/>
                <w:sz w:val="24"/>
              </w:rPr>
            </w:pPr>
          </w:p>
        </w:tc>
        <w:tc>
          <w:tcPr>
            <w:tcW w:w="772" w:type="pct"/>
            <w:vAlign w:val="center"/>
          </w:tcPr>
          <w:p w14:paraId="68635545">
            <w:pPr>
              <w:rPr>
                <w:rFonts w:ascii="仿宋" w:hAnsi="仿宋" w:eastAsia="仿宋" w:cs="Times New Roman"/>
                <w:sz w:val="24"/>
              </w:rPr>
            </w:pPr>
            <w:r>
              <w:rPr>
                <w:rFonts w:hint="eastAsia" w:ascii="仿宋" w:hAnsi="仿宋" w:eastAsia="仿宋" w:cs="Times New Roman"/>
                <w:sz w:val="24"/>
              </w:rPr>
              <w:t>档案传输记录</w:t>
            </w:r>
          </w:p>
        </w:tc>
        <w:tc>
          <w:tcPr>
            <w:tcW w:w="2983" w:type="pct"/>
          </w:tcPr>
          <w:p w14:paraId="5C1B546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针对移动公卫产生的上传或下载操作进行记录。</w:t>
            </w:r>
          </w:p>
        </w:tc>
        <w:tc>
          <w:tcPr>
            <w:tcW w:w="400" w:type="pct"/>
            <w:vAlign w:val="center"/>
          </w:tcPr>
          <w:p w14:paraId="1F09CE73">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6FA3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9270553">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57</w:t>
            </w:r>
          </w:p>
        </w:tc>
        <w:tc>
          <w:tcPr>
            <w:tcW w:w="559" w:type="pct"/>
            <w:vMerge w:val="continue"/>
            <w:vAlign w:val="center"/>
          </w:tcPr>
          <w:p w14:paraId="0903FA2E">
            <w:pPr>
              <w:jc w:val="center"/>
              <w:rPr>
                <w:rFonts w:ascii="仿宋" w:hAnsi="仿宋" w:eastAsia="仿宋" w:cs="Times New Roman"/>
                <w:sz w:val="24"/>
              </w:rPr>
            </w:pPr>
          </w:p>
        </w:tc>
        <w:tc>
          <w:tcPr>
            <w:tcW w:w="772" w:type="pct"/>
            <w:vAlign w:val="center"/>
          </w:tcPr>
          <w:p w14:paraId="78A16397">
            <w:pPr>
              <w:rPr>
                <w:rFonts w:ascii="仿宋" w:hAnsi="仿宋" w:eastAsia="仿宋" w:cs="Times New Roman"/>
                <w:sz w:val="24"/>
              </w:rPr>
            </w:pPr>
            <w:r>
              <w:rPr>
                <w:rFonts w:hint="eastAsia" w:ascii="仿宋" w:hAnsi="仿宋" w:eastAsia="仿宋" w:cs="Times New Roman"/>
                <w:sz w:val="24"/>
              </w:rPr>
              <w:t>操作日志</w:t>
            </w:r>
          </w:p>
        </w:tc>
        <w:tc>
          <w:tcPr>
            <w:tcW w:w="2983" w:type="pct"/>
          </w:tcPr>
          <w:p w14:paraId="7A9F76F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系统的业务发生变化后，会产生对相应的操作日志。</w:t>
            </w:r>
          </w:p>
        </w:tc>
        <w:tc>
          <w:tcPr>
            <w:tcW w:w="400" w:type="pct"/>
            <w:vAlign w:val="center"/>
          </w:tcPr>
          <w:p w14:paraId="7991F654">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color w:val="000000"/>
                <w:kern w:val="0"/>
                <w:sz w:val="28"/>
                <w:szCs w:val="28"/>
              </w:rPr>
              <w:t>▲</w:t>
            </w:r>
          </w:p>
        </w:tc>
      </w:tr>
      <w:tr w14:paraId="1589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3B3F8D7">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58</w:t>
            </w:r>
          </w:p>
        </w:tc>
        <w:tc>
          <w:tcPr>
            <w:tcW w:w="559" w:type="pct"/>
            <w:vMerge w:val="restart"/>
            <w:vAlign w:val="center"/>
          </w:tcPr>
          <w:p w14:paraId="7A5E121D">
            <w:pPr>
              <w:jc w:val="center"/>
              <w:rPr>
                <w:rFonts w:ascii="仿宋" w:hAnsi="仿宋" w:eastAsia="仿宋" w:cs="Times New Roman"/>
                <w:sz w:val="24"/>
              </w:rPr>
            </w:pPr>
            <w:r>
              <w:rPr>
                <w:rFonts w:hint="eastAsia" w:ascii="仿宋" w:hAnsi="仿宋" w:eastAsia="仿宋" w:cs="Times New Roman"/>
                <w:sz w:val="24"/>
              </w:rPr>
              <w:t>业务查询</w:t>
            </w:r>
          </w:p>
        </w:tc>
        <w:tc>
          <w:tcPr>
            <w:tcW w:w="772" w:type="pct"/>
            <w:vAlign w:val="center"/>
          </w:tcPr>
          <w:p w14:paraId="05E9E3B7">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个人档案查询</w:t>
            </w:r>
          </w:p>
        </w:tc>
        <w:tc>
          <w:tcPr>
            <w:tcW w:w="2983" w:type="pct"/>
          </w:tcPr>
          <w:p w14:paraId="1DA26161">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对系统中建立个人档案的居民进行查询。</w:t>
            </w:r>
          </w:p>
        </w:tc>
        <w:tc>
          <w:tcPr>
            <w:tcW w:w="400" w:type="pct"/>
            <w:vAlign w:val="center"/>
          </w:tcPr>
          <w:p w14:paraId="1C737CD9">
            <w:pPr>
              <w:rPr>
                <w:rFonts w:ascii="仿宋" w:hAnsi="仿宋" w:eastAsia="仿宋" w:cs="Calibri"/>
                <w:color w:val="000000" w:themeColor="text1"/>
                <w:kern w:val="0"/>
                <w:sz w:val="24"/>
                <w14:textFill>
                  <w14:solidFill>
                    <w14:schemeClr w14:val="tx1"/>
                  </w14:solidFill>
                </w14:textFill>
              </w:rPr>
            </w:pPr>
          </w:p>
        </w:tc>
      </w:tr>
      <w:tr w14:paraId="4B83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82FBE25">
            <w:pPr>
              <w:rPr>
                <w:rFonts w:ascii="等线" w:hAnsi="等线" w:eastAsia="等线" w:cs="Times New Roman"/>
                <w:color w:val="000000"/>
                <w:sz w:val="22"/>
              </w:rPr>
            </w:pPr>
            <w:r>
              <w:rPr>
                <w:rFonts w:hint="eastAsia" w:ascii="等线" w:hAnsi="等线" w:eastAsia="等线" w:cs="Times New Roman"/>
                <w:color w:val="000000"/>
                <w:sz w:val="22"/>
              </w:rPr>
              <w:t>59</w:t>
            </w:r>
          </w:p>
        </w:tc>
        <w:tc>
          <w:tcPr>
            <w:tcW w:w="559" w:type="pct"/>
            <w:vMerge w:val="continue"/>
            <w:vAlign w:val="center"/>
          </w:tcPr>
          <w:p w14:paraId="0A9E7267">
            <w:pPr>
              <w:jc w:val="center"/>
              <w:rPr>
                <w:rFonts w:ascii="仿宋" w:hAnsi="仿宋" w:eastAsia="仿宋" w:cs="Times New Roman"/>
                <w:sz w:val="24"/>
              </w:rPr>
            </w:pPr>
          </w:p>
        </w:tc>
        <w:tc>
          <w:tcPr>
            <w:tcW w:w="772" w:type="pct"/>
            <w:vAlign w:val="center"/>
          </w:tcPr>
          <w:p w14:paraId="7B978E8A">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死亡档案查询</w:t>
            </w:r>
          </w:p>
        </w:tc>
        <w:tc>
          <w:tcPr>
            <w:tcW w:w="2983" w:type="pct"/>
          </w:tcPr>
          <w:p w14:paraId="00443C0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对系统中建立死亡档案的居民进行查询。</w:t>
            </w:r>
          </w:p>
        </w:tc>
        <w:tc>
          <w:tcPr>
            <w:tcW w:w="400" w:type="pct"/>
            <w:vAlign w:val="center"/>
          </w:tcPr>
          <w:p w14:paraId="54BF5745">
            <w:pPr>
              <w:rPr>
                <w:rFonts w:ascii="仿宋" w:hAnsi="仿宋" w:eastAsia="仿宋" w:cs="Calibri"/>
                <w:color w:val="000000" w:themeColor="text1"/>
                <w:kern w:val="0"/>
                <w:sz w:val="24"/>
                <w14:textFill>
                  <w14:solidFill>
                    <w14:schemeClr w14:val="tx1"/>
                  </w14:solidFill>
                </w14:textFill>
              </w:rPr>
            </w:pPr>
          </w:p>
        </w:tc>
      </w:tr>
      <w:tr w14:paraId="468A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C5546A1">
            <w:pPr>
              <w:rPr>
                <w:rFonts w:ascii="等线" w:hAnsi="等线" w:eastAsia="等线" w:cs="Times New Roman"/>
                <w:color w:val="000000"/>
                <w:sz w:val="22"/>
              </w:rPr>
            </w:pPr>
            <w:r>
              <w:rPr>
                <w:rFonts w:hint="eastAsia" w:ascii="等线" w:hAnsi="等线" w:eastAsia="等线" w:cs="Times New Roman"/>
                <w:color w:val="000000"/>
                <w:sz w:val="22"/>
              </w:rPr>
              <w:t>60</w:t>
            </w:r>
          </w:p>
        </w:tc>
        <w:tc>
          <w:tcPr>
            <w:tcW w:w="559" w:type="pct"/>
            <w:vMerge w:val="continue"/>
            <w:vAlign w:val="center"/>
          </w:tcPr>
          <w:p w14:paraId="5E835884">
            <w:pPr>
              <w:jc w:val="center"/>
              <w:rPr>
                <w:rFonts w:ascii="仿宋" w:hAnsi="仿宋" w:eastAsia="仿宋" w:cs="Times New Roman"/>
                <w:sz w:val="24"/>
              </w:rPr>
            </w:pPr>
          </w:p>
        </w:tc>
        <w:tc>
          <w:tcPr>
            <w:tcW w:w="772" w:type="pct"/>
            <w:vAlign w:val="center"/>
          </w:tcPr>
          <w:p w14:paraId="6FE7AB79">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高血压患者查询</w:t>
            </w:r>
          </w:p>
        </w:tc>
        <w:tc>
          <w:tcPr>
            <w:tcW w:w="2983" w:type="pct"/>
          </w:tcPr>
          <w:p w14:paraId="25AA33E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对系统中建立高血压档案的居民进行查询。</w:t>
            </w:r>
          </w:p>
        </w:tc>
        <w:tc>
          <w:tcPr>
            <w:tcW w:w="400" w:type="pct"/>
            <w:vAlign w:val="center"/>
          </w:tcPr>
          <w:p w14:paraId="0D95CA9C">
            <w:pPr>
              <w:rPr>
                <w:rFonts w:ascii="仿宋" w:hAnsi="仿宋" w:eastAsia="仿宋" w:cs="Calibri"/>
                <w:color w:val="000000" w:themeColor="text1"/>
                <w:kern w:val="0"/>
                <w:sz w:val="24"/>
                <w14:textFill>
                  <w14:solidFill>
                    <w14:schemeClr w14:val="tx1"/>
                  </w14:solidFill>
                </w14:textFill>
              </w:rPr>
            </w:pPr>
          </w:p>
        </w:tc>
      </w:tr>
      <w:tr w14:paraId="3721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4BB5968">
            <w:pPr>
              <w:rPr>
                <w:rFonts w:ascii="等线" w:hAnsi="等线" w:eastAsia="等线" w:cs="Times New Roman"/>
                <w:color w:val="000000"/>
                <w:sz w:val="22"/>
              </w:rPr>
            </w:pPr>
            <w:r>
              <w:rPr>
                <w:rFonts w:hint="eastAsia" w:ascii="等线" w:hAnsi="等线" w:eastAsia="等线" w:cs="Times New Roman"/>
                <w:color w:val="000000"/>
                <w:sz w:val="22"/>
              </w:rPr>
              <w:t>61</w:t>
            </w:r>
          </w:p>
        </w:tc>
        <w:tc>
          <w:tcPr>
            <w:tcW w:w="559" w:type="pct"/>
            <w:vMerge w:val="continue"/>
            <w:vAlign w:val="center"/>
          </w:tcPr>
          <w:p w14:paraId="7261ACA4">
            <w:pPr>
              <w:jc w:val="center"/>
              <w:rPr>
                <w:rFonts w:ascii="仿宋" w:hAnsi="仿宋" w:eastAsia="仿宋" w:cs="Times New Roman"/>
                <w:sz w:val="24"/>
              </w:rPr>
            </w:pPr>
          </w:p>
        </w:tc>
        <w:tc>
          <w:tcPr>
            <w:tcW w:w="772" w:type="pct"/>
            <w:vAlign w:val="center"/>
          </w:tcPr>
          <w:p w14:paraId="282902D2">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高血压随访查询</w:t>
            </w:r>
          </w:p>
        </w:tc>
        <w:tc>
          <w:tcPr>
            <w:tcW w:w="2983" w:type="pct"/>
          </w:tcPr>
          <w:p w14:paraId="485DF3DA">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对系统中建立的高血压随访档案的居民档案进行查询。</w:t>
            </w:r>
          </w:p>
        </w:tc>
        <w:tc>
          <w:tcPr>
            <w:tcW w:w="400" w:type="pct"/>
            <w:vAlign w:val="center"/>
          </w:tcPr>
          <w:p w14:paraId="5760C990">
            <w:pPr>
              <w:rPr>
                <w:rFonts w:ascii="仿宋" w:hAnsi="仿宋" w:eastAsia="仿宋" w:cs="Calibri"/>
                <w:color w:val="000000" w:themeColor="text1"/>
                <w:kern w:val="0"/>
                <w:sz w:val="24"/>
                <w14:textFill>
                  <w14:solidFill>
                    <w14:schemeClr w14:val="tx1"/>
                  </w14:solidFill>
                </w14:textFill>
              </w:rPr>
            </w:pPr>
          </w:p>
        </w:tc>
      </w:tr>
      <w:tr w14:paraId="02B47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F596AAD">
            <w:pPr>
              <w:rPr>
                <w:rFonts w:ascii="等线" w:hAnsi="等线" w:eastAsia="等线" w:cs="Times New Roman"/>
                <w:color w:val="000000"/>
                <w:sz w:val="22"/>
              </w:rPr>
            </w:pPr>
            <w:r>
              <w:rPr>
                <w:rFonts w:hint="eastAsia" w:ascii="等线" w:hAnsi="等线" w:eastAsia="等线" w:cs="Times New Roman"/>
                <w:color w:val="000000"/>
                <w:sz w:val="22"/>
              </w:rPr>
              <w:t>62</w:t>
            </w:r>
          </w:p>
        </w:tc>
        <w:tc>
          <w:tcPr>
            <w:tcW w:w="559" w:type="pct"/>
            <w:vMerge w:val="continue"/>
            <w:vAlign w:val="center"/>
          </w:tcPr>
          <w:p w14:paraId="445E4098">
            <w:pPr>
              <w:jc w:val="center"/>
              <w:rPr>
                <w:rFonts w:ascii="仿宋" w:hAnsi="仿宋" w:eastAsia="仿宋" w:cs="Times New Roman"/>
                <w:sz w:val="24"/>
              </w:rPr>
            </w:pPr>
          </w:p>
        </w:tc>
        <w:tc>
          <w:tcPr>
            <w:tcW w:w="772" w:type="pct"/>
            <w:vAlign w:val="center"/>
          </w:tcPr>
          <w:p w14:paraId="6EE0E793">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糖尿病患者查询</w:t>
            </w:r>
          </w:p>
        </w:tc>
        <w:tc>
          <w:tcPr>
            <w:tcW w:w="2983" w:type="pct"/>
          </w:tcPr>
          <w:p w14:paraId="4520E2D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对系统中建立的糖尿病档案的居民档案进行查询。</w:t>
            </w:r>
          </w:p>
        </w:tc>
        <w:tc>
          <w:tcPr>
            <w:tcW w:w="400" w:type="pct"/>
            <w:vAlign w:val="center"/>
          </w:tcPr>
          <w:p w14:paraId="19AC5137">
            <w:pPr>
              <w:rPr>
                <w:rFonts w:ascii="仿宋" w:hAnsi="仿宋" w:eastAsia="仿宋" w:cs="Calibri"/>
                <w:color w:val="000000" w:themeColor="text1"/>
                <w:kern w:val="0"/>
                <w:sz w:val="24"/>
                <w14:textFill>
                  <w14:solidFill>
                    <w14:schemeClr w14:val="tx1"/>
                  </w14:solidFill>
                </w14:textFill>
              </w:rPr>
            </w:pPr>
          </w:p>
        </w:tc>
      </w:tr>
      <w:tr w14:paraId="78D8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2E4F4F3">
            <w:pPr>
              <w:rPr>
                <w:rFonts w:ascii="等线" w:hAnsi="等线" w:eastAsia="等线" w:cs="Times New Roman"/>
                <w:color w:val="000000"/>
                <w:sz w:val="22"/>
              </w:rPr>
            </w:pPr>
            <w:r>
              <w:rPr>
                <w:rFonts w:hint="eastAsia" w:ascii="等线" w:hAnsi="等线" w:eastAsia="等线" w:cs="Times New Roman"/>
                <w:color w:val="000000"/>
                <w:sz w:val="22"/>
              </w:rPr>
              <w:t>63</w:t>
            </w:r>
          </w:p>
        </w:tc>
        <w:tc>
          <w:tcPr>
            <w:tcW w:w="559" w:type="pct"/>
            <w:vMerge w:val="continue"/>
            <w:vAlign w:val="center"/>
          </w:tcPr>
          <w:p w14:paraId="2495CF9E">
            <w:pPr>
              <w:jc w:val="center"/>
              <w:rPr>
                <w:rFonts w:ascii="仿宋" w:hAnsi="仿宋" w:eastAsia="仿宋" w:cs="Times New Roman"/>
                <w:sz w:val="24"/>
              </w:rPr>
            </w:pPr>
          </w:p>
        </w:tc>
        <w:tc>
          <w:tcPr>
            <w:tcW w:w="772" w:type="pct"/>
            <w:vAlign w:val="center"/>
          </w:tcPr>
          <w:p w14:paraId="224AA2DD">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糖尿病随访查询</w:t>
            </w:r>
          </w:p>
        </w:tc>
        <w:tc>
          <w:tcPr>
            <w:tcW w:w="2983" w:type="pct"/>
          </w:tcPr>
          <w:p w14:paraId="2456C730">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对系统中建立的糖尿病随访档案的居民档案进行查询。</w:t>
            </w:r>
          </w:p>
        </w:tc>
        <w:tc>
          <w:tcPr>
            <w:tcW w:w="400" w:type="pct"/>
            <w:vAlign w:val="center"/>
          </w:tcPr>
          <w:p w14:paraId="30243A2E">
            <w:pPr>
              <w:rPr>
                <w:rFonts w:ascii="仿宋" w:hAnsi="仿宋" w:eastAsia="仿宋" w:cs="Calibri"/>
                <w:color w:val="000000" w:themeColor="text1"/>
                <w:kern w:val="0"/>
                <w:sz w:val="24"/>
                <w14:textFill>
                  <w14:solidFill>
                    <w14:schemeClr w14:val="tx1"/>
                  </w14:solidFill>
                </w14:textFill>
              </w:rPr>
            </w:pPr>
          </w:p>
        </w:tc>
      </w:tr>
      <w:tr w14:paraId="6EC5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7C74E84">
            <w:pPr>
              <w:rPr>
                <w:rFonts w:ascii="等线" w:hAnsi="等线" w:eastAsia="等线" w:cs="Times New Roman"/>
                <w:color w:val="000000"/>
                <w:sz w:val="22"/>
              </w:rPr>
            </w:pPr>
            <w:r>
              <w:rPr>
                <w:rFonts w:hint="eastAsia" w:ascii="等线" w:hAnsi="等线" w:eastAsia="等线" w:cs="Times New Roman"/>
                <w:color w:val="000000"/>
                <w:sz w:val="22"/>
              </w:rPr>
              <w:t>64</w:t>
            </w:r>
          </w:p>
        </w:tc>
        <w:tc>
          <w:tcPr>
            <w:tcW w:w="559" w:type="pct"/>
            <w:vMerge w:val="continue"/>
            <w:vAlign w:val="center"/>
          </w:tcPr>
          <w:p w14:paraId="541BD0AE">
            <w:pPr>
              <w:jc w:val="center"/>
              <w:rPr>
                <w:rFonts w:ascii="仿宋" w:hAnsi="仿宋" w:eastAsia="仿宋" w:cs="Times New Roman"/>
                <w:sz w:val="24"/>
              </w:rPr>
            </w:pPr>
          </w:p>
        </w:tc>
        <w:tc>
          <w:tcPr>
            <w:tcW w:w="772" w:type="pct"/>
            <w:vAlign w:val="center"/>
          </w:tcPr>
          <w:p w14:paraId="4A217BED">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严重精神障碍患者查询</w:t>
            </w:r>
          </w:p>
        </w:tc>
        <w:tc>
          <w:tcPr>
            <w:tcW w:w="2983" w:type="pct"/>
          </w:tcPr>
          <w:p w14:paraId="019C0F57">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对系统中建立的严重精神障碍档案的居民档案进行查询。</w:t>
            </w:r>
          </w:p>
        </w:tc>
        <w:tc>
          <w:tcPr>
            <w:tcW w:w="400" w:type="pct"/>
            <w:vAlign w:val="center"/>
          </w:tcPr>
          <w:p w14:paraId="5B0520B8">
            <w:pPr>
              <w:rPr>
                <w:rFonts w:ascii="仿宋" w:hAnsi="仿宋" w:eastAsia="仿宋" w:cs="Calibri"/>
                <w:color w:val="000000" w:themeColor="text1"/>
                <w:kern w:val="0"/>
                <w:sz w:val="24"/>
                <w14:textFill>
                  <w14:solidFill>
                    <w14:schemeClr w14:val="tx1"/>
                  </w14:solidFill>
                </w14:textFill>
              </w:rPr>
            </w:pPr>
          </w:p>
        </w:tc>
      </w:tr>
      <w:tr w14:paraId="5539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DA032DA">
            <w:pPr>
              <w:rPr>
                <w:rFonts w:ascii="等线" w:hAnsi="等线" w:eastAsia="等线" w:cs="Times New Roman"/>
                <w:color w:val="000000"/>
                <w:sz w:val="22"/>
              </w:rPr>
            </w:pPr>
            <w:r>
              <w:rPr>
                <w:rFonts w:hint="eastAsia" w:ascii="等线" w:hAnsi="等线" w:eastAsia="等线" w:cs="Times New Roman"/>
                <w:color w:val="000000"/>
                <w:sz w:val="22"/>
              </w:rPr>
              <w:t>65</w:t>
            </w:r>
          </w:p>
        </w:tc>
        <w:tc>
          <w:tcPr>
            <w:tcW w:w="559" w:type="pct"/>
            <w:vMerge w:val="continue"/>
            <w:vAlign w:val="center"/>
          </w:tcPr>
          <w:p w14:paraId="35CBC7D6">
            <w:pPr>
              <w:jc w:val="center"/>
              <w:rPr>
                <w:rFonts w:ascii="仿宋" w:hAnsi="仿宋" w:eastAsia="仿宋" w:cs="Times New Roman"/>
                <w:sz w:val="24"/>
              </w:rPr>
            </w:pPr>
          </w:p>
        </w:tc>
        <w:tc>
          <w:tcPr>
            <w:tcW w:w="772" w:type="pct"/>
            <w:vAlign w:val="center"/>
          </w:tcPr>
          <w:p w14:paraId="65BE3348">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严重精神障碍随访查询</w:t>
            </w:r>
          </w:p>
        </w:tc>
        <w:tc>
          <w:tcPr>
            <w:tcW w:w="2983" w:type="pct"/>
          </w:tcPr>
          <w:p w14:paraId="4CC2497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对系统中建立的严重精神障碍随访档案的居民档案进行查询。</w:t>
            </w:r>
          </w:p>
        </w:tc>
        <w:tc>
          <w:tcPr>
            <w:tcW w:w="400" w:type="pct"/>
            <w:vAlign w:val="center"/>
          </w:tcPr>
          <w:p w14:paraId="548A35AC">
            <w:pPr>
              <w:rPr>
                <w:rFonts w:ascii="仿宋" w:hAnsi="仿宋" w:eastAsia="仿宋" w:cs="Calibri"/>
                <w:color w:val="000000" w:themeColor="text1"/>
                <w:kern w:val="0"/>
                <w:sz w:val="24"/>
                <w14:textFill>
                  <w14:solidFill>
                    <w14:schemeClr w14:val="tx1"/>
                  </w14:solidFill>
                </w14:textFill>
              </w:rPr>
            </w:pPr>
          </w:p>
        </w:tc>
      </w:tr>
      <w:tr w14:paraId="111A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984D6E7">
            <w:pPr>
              <w:rPr>
                <w:rFonts w:ascii="等线" w:hAnsi="等线" w:eastAsia="等线" w:cs="Times New Roman"/>
                <w:color w:val="000000"/>
                <w:sz w:val="22"/>
              </w:rPr>
            </w:pPr>
            <w:r>
              <w:rPr>
                <w:rFonts w:hint="eastAsia" w:ascii="等线" w:hAnsi="等线" w:eastAsia="等线" w:cs="Times New Roman"/>
                <w:color w:val="000000"/>
                <w:sz w:val="22"/>
              </w:rPr>
              <w:t>66</w:t>
            </w:r>
          </w:p>
        </w:tc>
        <w:tc>
          <w:tcPr>
            <w:tcW w:w="559" w:type="pct"/>
            <w:vMerge w:val="continue"/>
            <w:vAlign w:val="center"/>
          </w:tcPr>
          <w:p w14:paraId="68352F03">
            <w:pPr>
              <w:jc w:val="center"/>
              <w:rPr>
                <w:rFonts w:ascii="仿宋" w:hAnsi="仿宋" w:eastAsia="仿宋" w:cs="Times New Roman"/>
                <w:sz w:val="24"/>
              </w:rPr>
            </w:pPr>
          </w:p>
        </w:tc>
        <w:tc>
          <w:tcPr>
            <w:tcW w:w="772" w:type="pct"/>
            <w:vAlign w:val="center"/>
          </w:tcPr>
          <w:p w14:paraId="5B5970C9">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肺结核患者查询</w:t>
            </w:r>
          </w:p>
        </w:tc>
        <w:tc>
          <w:tcPr>
            <w:tcW w:w="2983" w:type="pct"/>
          </w:tcPr>
          <w:p w14:paraId="1148C20A">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对系统中建立的肺结核档案的居民档案进行查询。</w:t>
            </w:r>
          </w:p>
        </w:tc>
        <w:tc>
          <w:tcPr>
            <w:tcW w:w="400" w:type="pct"/>
            <w:vAlign w:val="center"/>
          </w:tcPr>
          <w:p w14:paraId="2F48A624">
            <w:pPr>
              <w:rPr>
                <w:rFonts w:ascii="仿宋" w:hAnsi="仿宋" w:eastAsia="仿宋" w:cs="Calibri"/>
                <w:color w:val="000000" w:themeColor="text1"/>
                <w:kern w:val="0"/>
                <w:sz w:val="24"/>
                <w14:textFill>
                  <w14:solidFill>
                    <w14:schemeClr w14:val="tx1"/>
                  </w14:solidFill>
                </w14:textFill>
              </w:rPr>
            </w:pPr>
          </w:p>
        </w:tc>
      </w:tr>
      <w:tr w14:paraId="30E5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CB66FDC">
            <w:pPr>
              <w:rPr>
                <w:rFonts w:ascii="等线" w:hAnsi="等线" w:eastAsia="等线" w:cs="Times New Roman"/>
                <w:color w:val="000000"/>
                <w:sz w:val="22"/>
              </w:rPr>
            </w:pPr>
            <w:r>
              <w:rPr>
                <w:rFonts w:hint="eastAsia" w:ascii="等线" w:hAnsi="等线" w:eastAsia="等线" w:cs="Times New Roman"/>
                <w:color w:val="000000"/>
                <w:sz w:val="22"/>
              </w:rPr>
              <w:t>67</w:t>
            </w:r>
          </w:p>
        </w:tc>
        <w:tc>
          <w:tcPr>
            <w:tcW w:w="559" w:type="pct"/>
            <w:vMerge w:val="continue"/>
            <w:vAlign w:val="center"/>
          </w:tcPr>
          <w:p w14:paraId="3DEE104E">
            <w:pPr>
              <w:jc w:val="center"/>
              <w:rPr>
                <w:rFonts w:ascii="仿宋" w:hAnsi="仿宋" w:eastAsia="仿宋" w:cs="Times New Roman"/>
                <w:sz w:val="24"/>
              </w:rPr>
            </w:pPr>
          </w:p>
        </w:tc>
        <w:tc>
          <w:tcPr>
            <w:tcW w:w="772" w:type="pct"/>
            <w:vAlign w:val="center"/>
          </w:tcPr>
          <w:p w14:paraId="70F461D1">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肺结核随访查询</w:t>
            </w:r>
          </w:p>
        </w:tc>
        <w:tc>
          <w:tcPr>
            <w:tcW w:w="2983" w:type="pct"/>
          </w:tcPr>
          <w:p w14:paraId="6A5974D3">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对系统中建立的肺结核随访档案的居民档案进行查询。</w:t>
            </w:r>
          </w:p>
        </w:tc>
        <w:tc>
          <w:tcPr>
            <w:tcW w:w="400" w:type="pct"/>
            <w:vAlign w:val="center"/>
          </w:tcPr>
          <w:p w14:paraId="04E3C40F">
            <w:pPr>
              <w:rPr>
                <w:rFonts w:ascii="仿宋" w:hAnsi="仿宋" w:eastAsia="仿宋" w:cs="Calibri"/>
                <w:color w:val="000000" w:themeColor="text1"/>
                <w:kern w:val="0"/>
                <w:sz w:val="24"/>
                <w14:textFill>
                  <w14:solidFill>
                    <w14:schemeClr w14:val="tx1"/>
                  </w14:solidFill>
                </w14:textFill>
              </w:rPr>
            </w:pPr>
          </w:p>
        </w:tc>
      </w:tr>
      <w:tr w14:paraId="6798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8075D1A">
            <w:pPr>
              <w:rPr>
                <w:rFonts w:ascii="等线" w:hAnsi="等线" w:eastAsia="等线" w:cs="Times New Roman"/>
                <w:color w:val="000000"/>
                <w:sz w:val="22"/>
              </w:rPr>
            </w:pPr>
            <w:r>
              <w:rPr>
                <w:rFonts w:hint="eastAsia" w:ascii="等线" w:hAnsi="等线" w:eastAsia="等线" w:cs="Times New Roman"/>
                <w:color w:val="000000"/>
                <w:sz w:val="22"/>
              </w:rPr>
              <w:t>68</w:t>
            </w:r>
          </w:p>
        </w:tc>
        <w:tc>
          <w:tcPr>
            <w:tcW w:w="559" w:type="pct"/>
            <w:vMerge w:val="continue"/>
            <w:vAlign w:val="center"/>
          </w:tcPr>
          <w:p w14:paraId="6D8B794C">
            <w:pPr>
              <w:jc w:val="center"/>
              <w:rPr>
                <w:rFonts w:ascii="仿宋" w:hAnsi="仿宋" w:eastAsia="仿宋" w:cs="Times New Roman"/>
                <w:sz w:val="24"/>
              </w:rPr>
            </w:pPr>
          </w:p>
        </w:tc>
        <w:tc>
          <w:tcPr>
            <w:tcW w:w="772" w:type="pct"/>
            <w:vAlign w:val="center"/>
          </w:tcPr>
          <w:p w14:paraId="1AB9440F">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孕产妇查询</w:t>
            </w:r>
          </w:p>
        </w:tc>
        <w:tc>
          <w:tcPr>
            <w:tcW w:w="2983" w:type="pct"/>
          </w:tcPr>
          <w:p w14:paraId="5074B935">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对系统中建立的孕产妇档案的居民档案进行查询。</w:t>
            </w:r>
          </w:p>
        </w:tc>
        <w:tc>
          <w:tcPr>
            <w:tcW w:w="400" w:type="pct"/>
            <w:vAlign w:val="center"/>
          </w:tcPr>
          <w:p w14:paraId="28F20437">
            <w:pPr>
              <w:rPr>
                <w:rFonts w:ascii="仿宋" w:hAnsi="仿宋" w:eastAsia="仿宋" w:cs="Calibri"/>
                <w:color w:val="000000" w:themeColor="text1"/>
                <w:kern w:val="0"/>
                <w:sz w:val="24"/>
                <w14:textFill>
                  <w14:solidFill>
                    <w14:schemeClr w14:val="tx1"/>
                  </w14:solidFill>
                </w14:textFill>
              </w:rPr>
            </w:pPr>
          </w:p>
        </w:tc>
      </w:tr>
      <w:tr w14:paraId="538C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4915BAE3">
            <w:pPr>
              <w:rPr>
                <w:rFonts w:ascii="等线" w:hAnsi="等线" w:eastAsia="等线" w:cs="Times New Roman"/>
                <w:color w:val="000000"/>
                <w:sz w:val="22"/>
              </w:rPr>
            </w:pPr>
            <w:r>
              <w:rPr>
                <w:rFonts w:hint="eastAsia" w:ascii="等线" w:hAnsi="等线" w:eastAsia="等线" w:cs="Times New Roman"/>
                <w:color w:val="000000"/>
                <w:sz w:val="22"/>
              </w:rPr>
              <w:t>69</w:t>
            </w:r>
          </w:p>
        </w:tc>
        <w:tc>
          <w:tcPr>
            <w:tcW w:w="559" w:type="pct"/>
            <w:vMerge w:val="continue"/>
            <w:vAlign w:val="center"/>
          </w:tcPr>
          <w:p w14:paraId="61AF7FD0">
            <w:pPr>
              <w:jc w:val="center"/>
              <w:rPr>
                <w:rFonts w:ascii="仿宋" w:hAnsi="仿宋" w:eastAsia="仿宋" w:cs="Times New Roman"/>
                <w:sz w:val="24"/>
              </w:rPr>
            </w:pPr>
          </w:p>
        </w:tc>
        <w:tc>
          <w:tcPr>
            <w:tcW w:w="772" w:type="pct"/>
            <w:vAlign w:val="center"/>
          </w:tcPr>
          <w:p w14:paraId="24C7373D">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老年人查询</w:t>
            </w:r>
          </w:p>
        </w:tc>
        <w:tc>
          <w:tcPr>
            <w:tcW w:w="2983" w:type="pct"/>
          </w:tcPr>
          <w:p w14:paraId="099EEF7D">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对系统中建立个人档案的属于老年人的居民进行查询。</w:t>
            </w:r>
          </w:p>
        </w:tc>
        <w:tc>
          <w:tcPr>
            <w:tcW w:w="400" w:type="pct"/>
            <w:vAlign w:val="center"/>
          </w:tcPr>
          <w:p w14:paraId="31563719">
            <w:pPr>
              <w:rPr>
                <w:rFonts w:ascii="仿宋" w:hAnsi="仿宋" w:eastAsia="仿宋" w:cs="Calibri"/>
                <w:color w:val="000000" w:themeColor="text1"/>
                <w:kern w:val="0"/>
                <w:sz w:val="24"/>
                <w14:textFill>
                  <w14:solidFill>
                    <w14:schemeClr w14:val="tx1"/>
                  </w14:solidFill>
                </w14:textFill>
              </w:rPr>
            </w:pPr>
          </w:p>
        </w:tc>
      </w:tr>
      <w:tr w14:paraId="47BB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17AD8EA6">
            <w:pPr>
              <w:rPr>
                <w:rFonts w:ascii="等线" w:hAnsi="等线" w:eastAsia="等线" w:cs="Times New Roman"/>
                <w:color w:val="000000"/>
                <w:sz w:val="22"/>
              </w:rPr>
            </w:pPr>
            <w:r>
              <w:rPr>
                <w:rFonts w:hint="eastAsia" w:ascii="等线" w:hAnsi="等线" w:eastAsia="等线" w:cs="Times New Roman"/>
                <w:color w:val="000000"/>
                <w:sz w:val="22"/>
              </w:rPr>
              <w:t>70</w:t>
            </w:r>
          </w:p>
        </w:tc>
        <w:tc>
          <w:tcPr>
            <w:tcW w:w="559" w:type="pct"/>
            <w:vMerge w:val="restart"/>
            <w:vAlign w:val="center"/>
          </w:tcPr>
          <w:p w14:paraId="78463B29">
            <w:pPr>
              <w:jc w:val="center"/>
              <w:rPr>
                <w:rFonts w:ascii="仿宋" w:hAnsi="仿宋" w:eastAsia="仿宋" w:cs="Times New Roman"/>
                <w:sz w:val="24"/>
              </w:rPr>
            </w:pPr>
            <w:r>
              <w:rPr>
                <w:rFonts w:hint="eastAsia" w:ascii="仿宋" w:hAnsi="仿宋" w:eastAsia="仿宋" w:cs="Times New Roman"/>
                <w:sz w:val="24"/>
              </w:rPr>
              <w:t>业务统计</w:t>
            </w:r>
          </w:p>
        </w:tc>
        <w:tc>
          <w:tcPr>
            <w:tcW w:w="772" w:type="pct"/>
            <w:vAlign w:val="center"/>
          </w:tcPr>
          <w:p w14:paraId="39589153">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个人档案统计</w:t>
            </w:r>
          </w:p>
        </w:tc>
        <w:tc>
          <w:tcPr>
            <w:tcW w:w="2983" w:type="pct"/>
          </w:tcPr>
          <w:p w14:paraId="15CBF9B1">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对系统中建立个人档案的居民进行统计。</w:t>
            </w:r>
          </w:p>
        </w:tc>
        <w:tc>
          <w:tcPr>
            <w:tcW w:w="400" w:type="pct"/>
            <w:vAlign w:val="center"/>
          </w:tcPr>
          <w:p w14:paraId="4D36BB4A">
            <w:pPr>
              <w:rPr>
                <w:rFonts w:ascii="仿宋" w:hAnsi="仿宋" w:eastAsia="仿宋" w:cs="Calibri"/>
                <w:color w:val="000000" w:themeColor="text1"/>
                <w:kern w:val="0"/>
                <w:sz w:val="24"/>
                <w14:textFill>
                  <w14:solidFill>
                    <w14:schemeClr w14:val="tx1"/>
                  </w14:solidFill>
                </w14:textFill>
              </w:rPr>
            </w:pPr>
          </w:p>
        </w:tc>
      </w:tr>
      <w:tr w14:paraId="2B44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7B7E43EC">
            <w:pPr>
              <w:rPr>
                <w:rFonts w:ascii="等线" w:hAnsi="等线" w:eastAsia="等线" w:cs="Times New Roman"/>
                <w:color w:val="000000"/>
                <w:sz w:val="22"/>
              </w:rPr>
            </w:pPr>
            <w:r>
              <w:rPr>
                <w:rFonts w:hint="eastAsia" w:ascii="等线" w:hAnsi="等线" w:eastAsia="等线" w:cs="Times New Roman"/>
                <w:color w:val="000000"/>
                <w:sz w:val="22"/>
              </w:rPr>
              <w:t>71</w:t>
            </w:r>
          </w:p>
        </w:tc>
        <w:tc>
          <w:tcPr>
            <w:tcW w:w="559" w:type="pct"/>
            <w:vMerge w:val="continue"/>
            <w:vAlign w:val="center"/>
          </w:tcPr>
          <w:p w14:paraId="3600BAEF">
            <w:pPr>
              <w:jc w:val="center"/>
              <w:rPr>
                <w:rFonts w:ascii="仿宋" w:hAnsi="仿宋" w:eastAsia="仿宋" w:cs="Times New Roman"/>
                <w:sz w:val="24"/>
              </w:rPr>
            </w:pPr>
          </w:p>
        </w:tc>
        <w:tc>
          <w:tcPr>
            <w:tcW w:w="772" w:type="pct"/>
            <w:vAlign w:val="center"/>
          </w:tcPr>
          <w:p w14:paraId="55102296">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死亡档案统计</w:t>
            </w:r>
          </w:p>
        </w:tc>
        <w:tc>
          <w:tcPr>
            <w:tcW w:w="2983" w:type="pct"/>
          </w:tcPr>
          <w:p w14:paraId="670BC46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对系统中建立死亡档案的居民进行统计。</w:t>
            </w:r>
          </w:p>
        </w:tc>
        <w:tc>
          <w:tcPr>
            <w:tcW w:w="400" w:type="pct"/>
            <w:vAlign w:val="center"/>
          </w:tcPr>
          <w:p w14:paraId="497BBE66">
            <w:pPr>
              <w:rPr>
                <w:rFonts w:ascii="仿宋" w:hAnsi="仿宋" w:eastAsia="仿宋" w:cs="Calibri"/>
                <w:color w:val="000000" w:themeColor="text1"/>
                <w:kern w:val="0"/>
                <w:sz w:val="24"/>
                <w14:textFill>
                  <w14:solidFill>
                    <w14:schemeClr w14:val="tx1"/>
                  </w14:solidFill>
                </w14:textFill>
              </w:rPr>
            </w:pPr>
          </w:p>
        </w:tc>
      </w:tr>
      <w:tr w14:paraId="2E1D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A8D87FB">
            <w:pPr>
              <w:rPr>
                <w:rFonts w:ascii="等线" w:hAnsi="等线" w:eastAsia="等线" w:cs="Times New Roman"/>
                <w:color w:val="000000"/>
                <w:sz w:val="22"/>
              </w:rPr>
            </w:pPr>
            <w:r>
              <w:rPr>
                <w:rFonts w:hint="eastAsia" w:ascii="等线" w:hAnsi="等线" w:eastAsia="等线" w:cs="Times New Roman"/>
                <w:color w:val="000000"/>
                <w:sz w:val="22"/>
              </w:rPr>
              <w:t>72</w:t>
            </w:r>
          </w:p>
        </w:tc>
        <w:tc>
          <w:tcPr>
            <w:tcW w:w="559" w:type="pct"/>
            <w:vMerge w:val="continue"/>
            <w:vAlign w:val="center"/>
          </w:tcPr>
          <w:p w14:paraId="62A68E29">
            <w:pPr>
              <w:jc w:val="center"/>
              <w:rPr>
                <w:rFonts w:ascii="仿宋" w:hAnsi="仿宋" w:eastAsia="仿宋" w:cs="Times New Roman"/>
                <w:sz w:val="24"/>
              </w:rPr>
            </w:pPr>
          </w:p>
        </w:tc>
        <w:tc>
          <w:tcPr>
            <w:tcW w:w="772" w:type="pct"/>
            <w:vAlign w:val="center"/>
          </w:tcPr>
          <w:p w14:paraId="2AA89CE7">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高血压患者统计</w:t>
            </w:r>
          </w:p>
        </w:tc>
        <w:tc>
          <w:tcPr>
            <w:tcW w:w="2983" w:type="pct"/>
          </w:tcPr>
          <w:p w14:paraId="219813E0">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对系统中建立高血压档案的居民进行统计。</w:t>
            </w:r>
          </w:p>
        </w:tc>
        <w:tc>
          <w:tcPr>
            <w:tcW w:w="400" w:type="pct"/>
            <w:vAlign w:val="center"/>
          </w:tcPr>
          <w:p w14:paraId="623F3690">
            <w:pPr>
              <w:rPr>
                <w:rFonts w:ascii="仿宋" w:hAnsi="仿宋" w:eastAsia="仿宋" w:cs="Calibri"/>
                <w:color w:val="000000" w:themeColor="text1"/>
                <w:kern w:val="0"/>
                <w:sz w:val="24"/>
                <w14:textFill>
                  <w14:solidFill>
                    <w14:schemeClr w14:val="tx1"/>
                  </w14:solidFill>
                </w14:textFill>
              </w:rPr>
            </w:pPr>
          </w:p>
        </w:tc>
      </w:tr>
      <w:tr w14:paraId="787B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0935E24">
            <w:pPr>
              <w:rPr>
                <w:rFonts w:ascii="等线" w:hAnsi="等线" w:eastAsia="等线" w:cs="Times New Roman"/>
                <w:color w:val="000000"/>
                <w:sz w:val="22"/>
              </w:rPr>
            </w:pPr>
            <w:r>
              <w:rPr>
                <w:rFonts w:hint="eastAsia" w:ascii="等线" w:hAnsi="等线" w:eastAsia="等线" w:cs="Times New Roman"/>
                <w:color w:val="000000"/>
                <w:sz w:val="22"/>
              </w:rPr>
              <w:t>73</w:t>
            </w:r>
          </w:p>
        </w:tc>
        <w:tc>
          <w:tcPr>
            <w:tcW w:w="559" w:type="pct"/>
            <w:vMerge w:val="continue"/>
            <w:vAlign w:val="center"/>
          </w:tcPr>
          <w:p w14:paraId="408F6A3D">
            <w:pPr>
              <w:jc w:val="center"/>
              <w:rPr>
                <w:rFonts w:ascii="仿宋" w:hAnsi="仿宋" w:eastAsia="仿宋" w:cs="Times New Roman"/>
                <w:sz w:val="24"/>
              </w:rPr>
            </w:pPr>
          </w:p>
        </w:tc>
        <w:tc>
          <w:tcPr>
            <w:tcW w:w="772" w:type="pct"/>
            <w:vAlign w:val="center"/>
          </w:tcPr>
          <w:p w14:paraId="58EB73DC">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高血压随访统计</w:t>
            </w:r>
          </w:p>
        </w:tc>
        <w:tc>
          <w:tcPr>
            <w:tcW w:w="2983" w:type="pct"/>
          </w:tcPr>
          <w:p w14:paraId="5BC8A69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对系统中建立的高血压随访档案的居民档案进行统计。</w:t>
            </w:r>
          </w:p>
        </w:tc>
        <w:tc>
          <w:tcPr>
            <w:tcW w:w="400" w:type="pct"/>
            <w:vAlign w:val="center"/>
          </w:tcPr>
          <w:p w14:paraId="3BAD0A96">
            <w:pPr>
              <w:rPr>
                <w:rFonts w:ascii="仿宋" w:hAnsi="仿宋" w:eastAsia="仿宋" w:cs="Calibri"/>
                <w:color w:val="000000" w:themeColor="text1"/>
                <w:kern w:val="0"/>
                <w:sz w:val="24"/>
                <w14:textFill>
                  <w14:solidFill>
                    <w14:schemeClr w14:val="tx1"/>
                  </w14:solidFill>
                </w14:textFill>
              </w:rPr>
            </w:pPr>
          </w:p>
        </w:tc>
      </w:tr>
      <w:tr w14:paraId="2351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0A76811">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74</w:t>
            </w:r>
          </w:p>
        </w:tc>
        <w:tc>
          <w:tcPr>
            <w:tcW w:w="559" w:type="pct"/>
            <w:vMerge w:val="continue"/>
            <w:vAlign w:val="center"/>
          </w:tcPr>
          <w:p w14:paraId="51501789">
            <w:pPr>
              <w:jc w:val="center"/>
              <w:rPr>
                <w:rFonts w:ascii="仿宋" w:hAnsi="仿宋" w:eastAsia="仿宋" w:cs="Times New Roman"/>
                <w:sz w:val="24"/>
              </w:rPr>
            </w:pPr>
          </w:p>
        </w:tc>
        <w:tc>
          <w:tcPr>
            <w:tcW w:w="772" w:type="pct"/>
            <w:vAlign w:val="center"/>
          </w:tcPr>
          <w:p w14:paraId="08A3C7ED">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糖尿病患者统计</w:t>
            </w:r>
          </w:p>
        </w:tc>
        <w:tc>
          <w:tcPr>
            <w:tcW w:w="2983" w:type="pct"/>
          </w:tcPr>
          <w:p w14:paraId="08F29AE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对系统中建立的糖尿病档案的居民档案进行统计。</w:t>
            </w:r>
          </w:p>
        </w:tc>
        <w:tc>
          <w:tcPr>
            <w:tcW w:w="400" w:type="pct"/>
            <w:vAlign w:val="center"/>
          </w:tcPr>
          <w:p w14:paraId="508F44D9">
            <w:pPr>
              <w:rPr>
                <w:rFonts w:ascii="仿宋" w:hAnsi="仿宋" w:eastAsia="仿宋" w:cs="Calibri"/>
                <w:color w:val="000000" w:themeColor="text1"/>
                <w:kern w:val="0"/>
                <w:sz w:val="24"/>
                <w14:textFill>
                  <w14:solidFill>
                    <w14:schemeClr w14:val="tx1"/>
                  </w14:solidFill>
                </w14:textFill>
              </w:rPr>
            </w:pPr>
          </w:p>
        </w:tc>
      </w:tr>
      <w:tr w14:paraId="2B8F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E1827D4">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75</w:t>
            </w:r>
          </w:p>
        </w:tc>
        <w:tc>
          <w:tcPr>
            <w:tcW w:w="559" w:type="pct"/>
            <w:vMerge w:val="continue"/>
            <w:vAlign w:val="center"/>
          </w:tcPr>
          <w:p w14:paraId="4FBCA7FD">
            <w:pPr>
              <w:jc w:val="center"/>
              <w:rPr>
                <w:rFonts w:ascii="仿宋" w:hAnsi="仿宋" w:eastAsia="仿宋" w:cs="Times New Roman"/>
                <w:sz w:val="24"/>
              </w:rPr>
            </w:pPr>
          </w:p>
        </w:tc>
        <w:tc>
          <w:tcPr>
            <w:tcW w:w="772" w:type="pct"/>
            <w:vAlign w:val="center"/>
          </w:tcPr>
          <w:p w14:paraId="138562B0">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糖尿病随访统计</w:t>
            </w:r>
          </w:p>
        </w:tc>
        <w:tc>
          <w:tcPr>
            <w:tcW w:w="2983" w:type="pct"/>
          </w:tcPr>
          <w:p w14:paraId="7F27C23D">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对系统中建立的糖尿病随访档案的居民档案进行统计。</w:t>
            </w:r>
          </w:p>
        </w:tc>
        <w:tc>
          <w:tcPr>
            <w:tcW w:w="400" w:type="pct"/>
            <w:vAlign w:val="center"/>
          </w:tcPr>
          <w:p w14:paraId="3353A93A">
            <w:pPr>
              <w:rPr>
                <w:rFonts w:ascii="仿宋" w:hAnsi="仿宋" w:eastAsia="仿宋" w:cs="Calibri"/>
                <w:color w:val="000000" w:themeColor="text1"/>
                <w:kern w:val="0"/>
                <w:sz w:val="24"/>
                <w14:textFill>
                  <w14:solidFill>
                    <w14:schemeClr w14:val="tx1"/>
                  </w14:solidFill>
                </w14:textFill>
              </w:rPr>
            </w:pPr>
          </w:p>
        </w:tc>
      </w:tr>
      <w:tr w14:paraId="5652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941BF4B">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76</w:t>
            </w:r>
          </w:p>
        </w:tc>
        <w:tc>
          <w:tcPr>
            <w:tcW w:w="559" w:type="pct"/>
            <w:vMerge w:val="continue"/>
            <w:vAlign w:val="center"/>
          </w:tcPr>
          <w:p w14:paraId="2A546F5F">
            <w:pPr>
              <w:jc w:val="center"/>
              <w:rPr>
                <w:rFonts w:ascii="仿宋" w:hAnsi="仿宋" w:eastAsia="仿宋" w:cs="Times New Roman"/>
                <w:sz w:val="24"/>
              </w:rPr>
            </w:pPr>
          </w:p>
        </w:tc>
        <w:tc>
          <w:tcPr>
            <w:tcW w:w="772" w:type="pct"/>
            <w:vAlign w:val="center"/>
          </w:tcPr>
          <w:p w14:paraId="04416229">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严重精神障碍患者统计</w:t>
            </w:r>
          </w:p>
        </w:tc>
        <w:tc>
          <w:tcPr>
            <w:tcW w:w="2983" w:type="pct"/>
          </w:tcPr>
          <w:p w14:paraId="5B5F7FC8">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对系统中建立的严重精神障碍档案的居民档案进行统计。</w:t>
            </w:r>
          </w:p>
        </w:tc>
        <w:tc>
          <w:tcPr>
            <w:tcW w:w="400" w:type="pct"/>
            <w:vAlign w:val="center"/>
          </w:tcPr>
          <w:p w14:paraId="79B60108">
            <w:pPr>
              <w:rPr>
                <w:rFonts w:ascii="仿宋" w:hAnsi="仿宋" w:eastAsia="仿宋" w:cs="Calibri"/>
                <w:color w:val="000000" w:themeColor="text1"/>
                <w:kern w:val="0"/>
                <w:sz w:val="24"/>
                <w14:textFill>
                  <w14:solidFill>
                    <w14:schemeClr w14:val="tx1"/>
                  </w14:solidFill>
                </w14:textFill>
              </w:rPr>
            </w:pPr>
          </w:p>
        </w:tc>
      </w:tr>
      <w:tr w14:paraId="16E2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28216B2">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77</w:t>
            </w:r>
          </w:p>
        </w:tc>
        <w:tc>
          <w:tcPr>
            <w:tcW w:w="559" w:type="pct"/>
            <w:vMerge w:val="continue"/>
            <w:vAlign w:val="center"/>
          </w:tcPr>
          <w:p w14:paraId="33AD9776">
            <w:pPr>
              <w:jc w:val="center"/>
              <w:rPr>
                <w:rFonts w:ascii="仿宋" w:hAnsi="仿宋" w:eastAsia="仿宋" w:cs="Times New Roman"/>
                <w:sz w:val="24"/>
              </w:rPr>
            </w:pPr>
          </w:p>
        </w:tc>
        <w:tc>
          <w:tcPr>
            <w:tcW w:w="772" w:type="pct"/>
            <w:vAlign w:val="center"/>
          </w:tcPr>
          <w:p w14:paraId="259859D1">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严重精神障碍随访统计</w:t>
            </w:r>
          </w:p>
        </w:tc>
        <w:tc>
          <w:tcPr>
            <w:tcW w:w="2983" w:type="pct"/>
          </w:tcPr>
          <w:p w14:paraId="60BA797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对系统中建立的严重精神障碍随访档案的居民档案进行统计。</w:t>
            </w:r>
          </w:p>
        </w:tc>
        <w:tc>
          <w:tcPr>
            <w:tcW w:w="400" w:type="pct"/>
            <w:vAlign w:val="center"/>
          </w:tcPr>
          <w:p w14:paraId="6CD3DD6B">
            <w:pPr>
              <w:rPr>
                <w:rFonts w:ascii="仿宋" w:hAnsi="仿宋" w:eastAsia="仿宋" w:cs="Calibri"/>
                <w:color w:val="000000" w:themeColor="text1"/>
                <w:kern w:val="0"/>
                <w:sz w:val="24"/>
                <w14:textFill>
                  <w14:solidFill>
                    <w14:schemeClr w14:val="tx1"/>
                  </w14:solidFill>
                </w14:textFill>
              </w:rPr>
            </w:pPr>
          </w:p>
        </w:tc>
      </w:tr>
      <w:tr w14:paraId="2A9A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7C61738">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78</w:t>
            </w:r>
          </w:p>
        </w:tc>
        <w:tc>
          <w:tcPr>
            <w:tcW w:w="559" w:type="pct"/>
            <w:vMerge w:val="continue"/>
            <w:vAlign w:val="center"/>
          </w:tcPr>
          <w:p w14:paraId="55756BC6">
            <w:pPr>
              <w:jc w:val="center"/>
              <w:rPr>
                <w:rFonts w:ascii="仿宋" w:hAnsi="仿宋" w:eastAsia="仿宋" w:cs="Times New Roman"/>
                <w:sz w:val="24"/>
              </w:rPr>
            </w:pPr>
          </w:p>
        </w:tc>
        <w:tc>
          <w:tcPr>
            <w:tcW w:w="772" w:type="pct"/>
            <w:vAlign w:val="center"/>
          </w:tcPr>
          <w:p w14:paraId="14B4801F">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肺结核患者统计</w:t>
            </w:r>
          </w:p>
        </w:tc>
        <w:tc>
          <w:tcPr>
            <w:tcW w:w="2983" w:type="pct"/>
          </w:tcPr>
          <w:p w14:paraId="6BA3DC08">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对系统中建立的肺结核档案的居民档案进行统计。</w:t>
            </w:r>
          </w:p>
        </w:tc>
        <w:tc>
          <w:tcPr>
            <w:tcW w:w="400" w:type="pct"/>
            <w:vAlign w:val="center"/>
          </w:tcPr>
          <w:p w14:paraId="083D16A5">
            <w:pPr>
              <w:rPr>
                <w:rFonts w:ascii="仿宋" w:hAnsi="仿宋" w:eastAsia="仿宋" w:cs="Calibri"/>
                <w:color w:val="000000" w:themeColor="text1"/>
                <w:kern w:val="0"/>
                <w:sz w:val="24"/>
                <w14:textFill>
                  <w14:solidFill>
                    <w14:schemeClr w14:val="tx1"/>
                  </w14:solidFill>
                </w14:textFill>
              </w:rPr>
            </w:pPr>
          </w:p>
        </w:tc>
      </w:tr>
      <w:tr w14:paraId="54849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F546997">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79</w:t>
            </w:r>
          </w:p>
        </w:tc>
        <w:tc>
          <w:tcPr>
            <w:tcW w:w="559" w:type="pct"/>
            <w:vMerge w:val="continue"/>
            <w:vAlign w:val="center"/>
          </w:tcPr>
          <w:p w14:paraId="24638E17">
            <w:pPr>
              <w:jc w:val="center"/>
              <w:rPr>
                <w:rFonts w:ascii="仿宋" w:hAnsi="仿宋" w:eastAsia="仿宋" w:cs="Times New Roman"/>
                <w:sz w:val="24"/>
              </w:rPr>
            </w:pPr>
          </w:p>
        </w:tc>
        <w:tc>
          <w:tcPr>
            <w:tcW w:w="772" w:type="pct"/>
            <w:vAlign w:val="center"/>
          </w:tcPr>
          <w:p w14:paraId="1A4EBFBB">
            <w:pPr>
              <w:rPr>
                <w:rFonts w:ascii="仿宋" w:hAnsi="仿宋" w:eastAsia="仿宋" w:cs="Times New Roman"/>
                <w:sz w:val="24"/>
              </w:rPr>
            </w:pPr>
            <w:r>
              <w:rPr>
                <w:rFonts w:hint="eastAsia" w:ascii="仿宋" w:hAnsi="仿宋" w:eastAsia="仿宋" w:cs="Calibri"/>
                <w:color w:val="000000" w:themeColor="text1"/>
                <w:kern w:val="0"/>
                <w:sz w:val="24"/>
                <w14:textFill>
                  <w14:solidFill>
                    <w14:schemeClr w14:val="tx1"/>
                  </w14:solidFill>
                </w14:textFill>
              </w:rPr>
              <w:t>肺结核随访统计</w:t>
            </w:r>
          </w:p>
        </w:tc>
        <w:tc>
          <w:tcPr>
            <w:tcW w:w="2983" w:type="pct"/>
          </w:tcPr>
          <w:p w14:paraId="5A1E2553">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对系统中建立的肺结核随访档案的居民档案进行统计。</w:t>
            </w:r>
          </w:p>
        </w:tc>
        <w:tc>
          <w:tcPr>
            <w:tcW w:w="400" w:type="pct"/>
            <w:vAlign w:val="center"/>
          </w:tcPr>
          <w:p w14:paraId="518ACA6D">
            <w:pPr>
              <w:rPr>
                <w:rFonts w:ascii="仿宋" w:hAnsi="仿宋" w:eastAsia="仿宋" w:cs="Calibri"/>
                <w:color w:val="000000" w:themeColor="text1"/>
                <w:kern w:val="0"/>
                <w:sz w:val="24"/>
                <w14:textFill>
                  <w14:solidFill>
                    <w14:schemeClr w14:val="tx1"/>
                  </w14:solidFill>
                </w14:textFill>
              </w:rPr>
            </w:pPr>
          </w:p>
        </w:tc>
      </w:tr>
      <w:tr w14:paraId="5884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750BCFE2">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80</w:t>
            </w:r>
          </w:p>
        </w:tc>
        <w:tc>
          <w:tcPr>
            <w:tcW w:w="559" w:type="pct"/>
            <w:vMerge w:val="restart"/>
            <w:vAlign w:val="center"/>
          </w:tcPr>
          <w:p w14:paraId="6132FD99">
            <w:pPr>
              <w:jc w:val="center"/>
              <w:rPr>
                <w:rFonts w:ascii="仿宋" w:hAnsi="仿宋" w:eastAsia="仿宋" w:cs="Times New Roman"/>
                <w:sz w:val="24"/>
              </w:rPr>
            </w:pPr>
            <w:r>
              <w:rPr>
                <w:rFonts w:hint="eastAsia" w:ascii="仿宋" w:hAnsi="仿宋" w:eastAsia="仿宋" w:cs="Times New Roman"/>
                <w:sz w:val="24"/>
              </w:rPr>
              <w:t>业务报表</w:t>
            </w:r>
          </w:p>
        </w:tc>
        <w:tc>
          <w:tcPr>
            <w:tcW w:w="772" w:type="pct"/>
            <w:vAlign w:val="center"/>
          </w:tcPr>
          <w:p w14:paraId="7C37B104">
            <w:pPr>
              <w:rPr>
                <w:rFonts w:ascii="仿宋" w:hAnsi="仿宋" w:eastAsia="仿宋" w:cs="Times New Roman"/>
                <w:sz w:val="24"/>
              </w:rPr>
            </w:pPr>
            <w:r>
              <w:rPr>
                <w:rFonts w:hint="eastAsia" w:ascii="仿宋" w:hAnsi="仿宋" w:eastAsia="仿宋" w:cs="Times New Roman"/>
                <w:sz w:val="24"/>
              </w:rPr>
              <w:t>居民管理报表</w:t>
            </w:r>
          </w:p>
        </w:tc>
        <w:tc>
          <w:tcPr>
            <w:tcW w:w="2983" w:type="pct"/>
          </w:tcPr>
          <w:p w14:paraId="7F8EEFDE">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对辖区内的居民信息进行指标展示。</w:t>
            </w:r>
          </w:p>
        </w:tc>
        <w:tc>
          <w:tcPr>
            <w:tcW w:w="400" w:type="pct"/>
            <w:vAlign w:val="center"/>
          </w:tcPr>
          <w:p w14:paraId="29951CF3">
            <w:pPr>
              <w:rPr>
                <w:rFonts w:ascii="仿宋" w:hAnsi="仿宋" w:eastAsia="仿宋" w:cs="Calibri"/>
                <w:color w:val="000000" w:themeColor="text1"/>
                <w:kern w:val="0"/>
                <w:sz w:val="24"/>
                <w14:textFill>
                  <w14:solidFill>
                    <w14:schemeClr w14:val="tx1"/>
                  </w14:solidFill>
                </w14:textFill>
              </w:rPr>
            </w:pPr>
          </w:p>
        </w:tc>
      </w:tr>
      <w:tr w14:paraId="3EF5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3537B693">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81</w:t>
            </w:r>
          </w:p>
        </w:tc>
        <w:tc>
          <w:tcPr>
            <w:tcW w:w="559" w:type="pct"/>
            <w:vMerge w:val="continue"/>
            <w:vAlign w:val="center"/>
          </w:tcPr>
          <w:p w14:paraId="3563EF35">
            <w:pPr>
              <w:jc w:val="center"/>
              <w:rPr>
                <w:rFonts w:ascii="仿宋" w:hAnsi="仿宋" w:eastAsia="仿宋" w:cs="Times New Roman"/>
                <w:sz w:val="24"/>
              </w:rPr>
            </w:pPr>
          </w:p>
        </w:tc>
        <w:tc>
          <w:tcPr>
            <w:tcW w:w="772" w:type="pct"/>
            <w:vAlign w:val="center"/>
          </w:tcPr>
          <w:p w14:paraId="55DC9ADF">
            <w:pPr>
              <w:rPr>
                <w:rFonts w:ascii="仿宋" w:hAnsi="仿宋" w:eastAsia="仿宋" w:cs="Times New Roman"/>
                <w:sz w:val="24"/>
              </w:rPr>
            </w:pPr>
            <w:r>
              <w:rPr>
                <w:rFonts w:hint="eastAsia" w:ascii="仿宋" w:hAnsi="仿宋" w:eastAsia="仿宋" w:cs="Times New Roman"/>
                <w:sz w:val="24"/>
              </w:rPr>
              <w:t>老年人管理报表</w:t>
            </w:r>
          </w:p>
        </w:tc>
        <w:tc>
          <w:tcPr>
            <w:tcW w:w="2983" w:type="pct"/>
          </w:tcPr>
          <w:p w14:paraId="0540BC41">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对辖区内的老年人信息进行指标展示。</w:t>
            </w:r>
          </w:p>
        </w:tc>
        <w:tc>
          <w:tcPr>
            <w:tcW w:w="400" w:type="pct"/>
            <w:vAlign w:val="center"/>
          </w:tcPr>
          <w:p w14:paraId="06D89C6C">
            <w:pPr>
              <w:rPr>
                <w:rFonts w:ascii="仿宋" w:hAnsi="仿宋" w:eastAsia="仿宋" w:cs="Calibri"/>
                <w:color w:val="000000" w:themeColor="text1"/>
                <w:kern w:val="0"/>
                <w:sz w:val="24"/>
                <w14:textFill>
                  <w14:solidFill>
                    <w14:schemeClr w14:val="tx1"/>
                  </w14:solidFill>
                </w14:textFill>
              </w:rPr>
            </w:pPr>
          </w:p>
        </w:tc>
      </w:tr>
      <w:tr w14:paraId="6E9C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20B79D7B">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82</w:t>
            </w:r>
          </w:p>
        </w:tc>
        <w:tc>
          <w:tcPr>
            <w:tcW w:w="559" w:type="pct"/>
            <w:vMerge w:val="continue"/>
            <w:vAlign w:val="center"/>
          </w:tcPr>
          <w:p w14:paraId="3F213E44">
            <w:pPr>
              <w:jc w:val="center"/>
              <w:rPr>
                <w:rFonts w:ascii="仿宋" w:hAnsi="仿宋" w:eastAsia="仿宋" w:cs="Times New Roman"/>
                <w:sz w:val="24"/>
              </w:rPr>
            </w:pPr>
          </w:p>
        </w:tc>
        <w:tc>
          <w:tcPr>
            <w:tcW w:w="772" w:type="pct"/>
            <w:vAlign w:val="center"/>
          </w:tcPr>
          <w:p w14:paraId="795E9496">
            <w:pPr>
              <w:rPr>
                <w:rFonts w:ascii="仿宋" w:hAnsi="仿宋" w:eastAsia="仿宋" w:cs="Times New Roman"/>
                <w:sz w:val="24"/>
              </w:rPr>
            </w:pPr>
            <w:r>
              <w:rPr>
                <w:rFonts w:hint="eastAsia" w:ascii="仿宋" w:hAnsi="仿宋" w:eastAsia="仿宋" w:cs="Times New Roman"/>
                <w:sz w:val="24"/>
              </w:rPr>
              <w:t>高血压管理报表</w:t>
            </w:r>
          </w:p>
        </w:tc>
        <w:tc>
          <w:tcPr>
            <w:tcW w:w="2983" w:type="pct"/>
          </w:tcPr>
          <w:p w14:paraId="3C772F2F">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对辖区内的高血压信息进行指标展示。</w:t>
            </w:r>
          </w:p>
        </w:tc>
        <w:tc>
          <w:tcPr>
            <w:tcW w:w="400" w:type="pct"/>
            <w:vAlign w:val="center"/>
          </w:tcPr>
          <w:p w14:paraId="4359FF1B">
            <w:pPr>
              <w:rPr>
                <w:rFonts w:ascii="仿宋" w:hAnsi="仿宋" w:eastAsia="仿宋" w:cs="Calibri"/>
                <w:color w:val="000000" w:themeColor="text1"/>
                <w:kern w:val="0"/>
                <w:sz w:val="24"/>
                <w14:textFill>
                  <w14:solidFill>
                    <w14:schemeClr w14:val="tx1"/>
                  </w14:solidFill>
                </w14:textFill>
              </w:rPr>
            </w:pPr>
          </w:p>
        </w:tc>
      </w:tr>
      <w:tr w14:paraId="7B2D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65735E20">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83</w:t>
            </w:r>
          </w:p>
        </w:tc>
        <w:tc>
          <w:tcPr>
            <w:tcW w:w="559" w:type="pct"/>
            <w:vMerge w:val="continue"/>
            <w:vAlign w:val="center"/>
          </w:tcPr>
          <w:p w14:paraId="15EEF13B">
            <w:pPr>
              <w:jc w:val="center"/>
              <w:rPr>
                <w:rFonts w:ascii="仿宋" w:hAnsi="仿宋" w:eastAsia="仿宋" w:cs="Times New Roman"/>
                <w:sz w:val="24"/>
              </w:rPr>
            </w:pPr>
          </w:p>
        </w:tc>
        <w:tc>
          <w:tcPr>
            <w:tcW w:w="772" w:type="pct"/>
            <w:vAlign w:val="center"/>
          </w:tcPr>
          <w:p w14:paraId="0AA924BA">
            <w:pPr>
              <w:rPr>
                <w:rFonts w:ascii="仿宋" w:hAnsi="仿宋" w:eastAsia="仿宋" w:cs="Times New Roman"/>
                <w:sz w:val="24"/>
              </w:rPr>
            </w:pPr>
            <w:r>
              <w:rPr>
                <w:rFonts w:hint="eastAsia" w:ascii="仿宋" w:hAnsi="仿宋" w:eastAsia="仿宋" w:cs="Times New Roman"/>
                <w:sz w:val="24"/>
              </w:rPr>
              <w:t>糖尿病管理报表</w:t>
            </w:r>
          </w:p>
        </w:tc>
        <w:tc>
          <w:tcPr>
            <w:tcW w:w="2983" w:type="pct"/>
          </w:tcPr>
          <w:p w14:paraId="15F2A134">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对辖区内的糖尿病信息进行指标展示。</w:t>
            </w:r>
          </w:p>
        </w:tc>
        <w:tc>
          <w:tcPr>
            <w:tcW w:w="400" w:type="pct"/>
            <w:vAlign w:val="center"/>
          </w:tcPr>
          <w:p w14:paraId="181F131F">
            <w:pPr>
              <w:rPr>
                <w:rFonts w:ascii="仿宋" w:hAnsi="仿宋" w:eastAsia="仿宋" w:cs="Calibri"/>
                <w:color w:val="000000" w:themeColor="text1"/>
                <w:kern w:val="0"/>
                <w:sz w:val="24"/>
                <w14:textFill>
                  <w14:solidFill>
                    <w14:schemeClr w14:val="tx1"/>
                  </w14:solidFill>
                </w14:textFill>
              </w:rPr>
            </w:pPr>
          </w:p>
        </w:tc>
      </w:tr>
      <w:tr w14:paraId="5039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56312B0B">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84</w:t>
            </w:r>
          </w:p>
        </w:tc>
        <w:tc>
          <w:tcPr>
            <w:tcW w:w="559" w:type="pct"/>
            <w:vMerge w:val="continue"/>
            <w:vAlign w:val="center"/>
          </w:tcPr>
          <w:p w14:paraId="374D2521">
            <w:pPr>
              <w:jc w:val="center"/>
              <w:rPr>
                <w:rFonts w:ascii="仿宋" w:hAnsi="仿宋" w:eastAsia="仿宋" w:cs="Times New Roman"/>
                <w:sz w:val="24"/>
              </w:rPr>
            </w:pPr>
          </w:p>
        </w:tc>
        <w:tc>
          <w:tcPr>
            <w:tcW w:w="772" w:type="pct"/>
            <w:vAlign w:val="center"/>
          </w:tcPr>
          <w:p w14:paraId="25963E8D">
            <w:pPr>
              <w:rPr>
                <w:rFonts w:ascii="仿宋" w:hAnsi="仿宋" w:eastAsia="仿宋" w:cs="Times New Roman"/>
                <w:sz w:val="24"/>
              </w:rPr>
            </w:pPr>
            <w:r>
              <w:rPr>
                <w:rFonts w:hint="eastAsia" w:ascii="仿宋" w:hAnsi="仿宋" w:eastAsia="仿宋" w:cs="Times New Roman"/>
                <w:sz w:val="24"/>
              </w:rPr>
              <w:t>精神障碍管理报表</w:t>
            </w:r>
          </w:p>
        </w:tc>
        <w:tc>
          <w:tcPr>
            <w:tcW w:w="2983" w:type="pct"/>
          </w:tcPr>
          <w:p w14:paraId="0FEA7FB7">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对辖区内的精神障碍信息进行指标展示。</w:t>
            </w:r>
          </w:p>
        </w:tc>
        <w:tc>
          <w:tcPr>
            <w:tcW w:w="400" w:type="pct"/>
            <w:vAlign w:val="center"/>
          </w:tcPr>
          <w:p w14:paraId="323256D0">
            <w:pPr>
              <w:rPr>
                <w:rFonts w:ascii="仿宋" w:hAnsi="仿宋" w:eastAsia="仿宋" w:cs="Calibri"/>
                <w:color w:val="000000" w:themeColor="text1"/>
                <w:kern w:val="0"/>
                <w:sz w:val="24"/>
                <w14:textFill>
                  <w14:solidFill>
                    <w14:schemeClr w14:val="tx1"/>
                  </w14:solidFill>
                </w14:textFill>
              </w:rPr>
            </w:pPr>
          </w:p>
        </w:tc>
      </w:tr>
      <w:tr w14:paraId="3677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02EAE1A6">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85</w:t>
            </w:r>
          </w:p>
        </w:tc>
        <w:tc>
          <w:tcPr>
            <w:tcW w:w="559" w:type="pct"/>
            <w:vMerge w:val="continue"/>
            <w:vAlign w:val="center"/>
          </w:tcPr>
          <w:p w14:paraId="07DF4086">
            <w:pPr>
              <w:jc w:val="center"/>
              <w:rPr>
                <w:rFonts w:ascii="仿宋" w:hAnsi="仿宋" w:eastAsia="仿宋" w:cs="Times New Roman"/>
                <w:sz w:val="24"/>
              </w:rPr>
            </w:pPr>
          </w:p>
        </w:tc>
        <w:tc>
          <w:tcPr>
            <w:tcW w:w="772" w:type="pct"/>
            <w:vAlign w:val="center"/>
          </w:tcPr>
          <w:p w14:paraId="1ABB1666">
            <w:pPr>
              <w:rPr>
                <w:rFonts w:ascii="仿宋" w:hAnsi="仿宋" w:eastAsia="仿宋" w:cs="Times New Roman"/>
                <w:sz w:val="24"/>
              </w:rPr>
            </w:pPr>
            <w:r>
              <w:rPr>
                <w:rFonts w:hint="eastAsia" w:ascii="仿宋" w:hAnsi="仿宋" w:eastAsia="仿宋" w:cs="Times New Roman"/>
                <w:sz w:val="24"/>
              </w:rPr>
              <w:t>中医药管理报表</w:t>
            </w:r>
          </w:p>
        </w:tc>
        <w:tc>
          <w:tcPr>
            <w:tcW w:w="2983" w:type="pct"/>
          </w:tcPr>
          <w:p w14:paraId="1656F6A1">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Calibri"/>
                <w:color w:val="000000" w:themeColor="text1"/>
                <w:kern w:val="0"/>
                <w:sz w:val="24"/>
                <w14:textFill>
                  <w14:solidFill>
                    <w14:schemeClr w14:val="tx1"/>
                  </w14:solidFill>
                </w14:textFill>
              </w:rPr>
              <w:t>对辖区内的中医药信息进行指标展示。</w:t>
            </w:r>
          </w:p>
        </w:tc>
        <w:tc>
          <w:tcPr>
            <w:tcW w:w="400" w:type="pct"/>
            <w:vAlign w:val="center"/>
          </w:tcPr>
          <w:p w14:paraId="21402FD5">
            <w:pPr>
              <w:rPr>
                <w:rFonts w:ascii="仿宋" w:hAnsi="仿宋" w:eastAsia="仿宋" w:cs="Calibri"/>
                <w:color w:val="000000" w:themeColor="text1"/>
                <w:kern w:val="0"/>
                <w:sz w:val="24"/>
                <w14:textFill>
                  <w14:solidFill>
                    <w14:schemeClr w14:val="tx1"/>
                  </w14:solidFill>
                </w14:textFill>
              </w:rPr>
            </w:pPr>
          </w:p>
        </w:tc>
      </w:tr>
      <w:tr w14:paraId="0D4E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 w:type="pct"/>
            <w:vAlign w:val="bottom"/>
          </w:tcPr>
          <w:p w14:paraId="42A54707">
            <w:pPr>
              <w:rPr>
                <w:rFonts w:ascii="仿宋" w:hAnsi="仿宋" w:eastAsia="仿宋" w:cs="Calibri"/>
                <w:color w:val="000000" w:themeColor="text1"/>
                <w:kern w:val="0"/>
                <w:sz w:val="24"/>
                <w14:textFill>
                  <w14:solidFill>
                    <w14:schemeClr w14:val="tx1"/>
                  </w14:solidFill>
                </w14:textFill>
              </w:rPr>
            </w:pPr>
            <w:r>
              <w:rPr>
                <w:rFonts w:hint="eastAsia" w:ascii="等线" w:hAnsi="等线" w:eastAsia="等线" w:cs="Times New Roman"/>
                <w:color w:val="000000"/>
                <w:sz w:val="22"/>
              </w:rPr>
              <w:t>86</w:t>
            </w:r>
          </w:p>
        </w:tc>
        <w:tc>
          <w:tcPr>
            <w:tcW w:w="559" w:type="pct"/>
            <w:vAlign w:val="center"/>
          </w:tcPr>
          <w:p w14:paraId="59A2BABF">
            <w:pPr>
              <w:jc w:val="center"/>
              <w:rPr>
                <w:rFonts w:ascii="仿宋" w:hAnsi="仿宋" w:eastAsia="仿宋" w:cs="Times New Roman"/>
                <w:sz w:val="24"/>
              </w:rPr>
            </w:pPr>
            <w:r>
              <w:rPr>
                <w:rFonts w:hint="eastAsia" w:ascii="仿宋" w:hAnsi="仿宋" w:eastAsia="仿宋" w:cs="仿宋"/>
                <w:bCs/>
                <w:color w:val="000000" w:themeColor="text1"/>
                <w:sz w:val="24"/>
                <w:szCs w:val="24"/>
                <w14:textFill>
                  <w14:solidFill>
                    <w14:schemeClr w14:val="tx1"/>
                  </w14:solidFill>
                </w14:textFill>
              </w:rPr>
              <w:t>登录/退出</w:t>
            </w:r>
          </w:p>
        </w:tc>
        <w:tc>
          <w:tcPr>
            <w:tcW w:w="772" w:type="pct"/>
            <w:vAlign w:val="center"/>
          </w:tcPr>
          <w:p w14:paraId="52E31E1B">
            <w:pPr>
              <w:rPr>
                <w:rFonts w:ascii="仿宋" w:hAnsi="仿宋" w:eastAsia="仿宋" w:cs="Times New Roman"/>
                <w:sz w:val="24"/>
              </w:rPr>
            </w:pPr>
          </w:p>
        </w:tc>
        <w:tc>
          <w:tcPr>
            <w:tcW w:w="2983" w:type="pct"/>
          </w:tcPr>
          <w:p w14:paraId="6E06E126">
            <w:pPr>
              <w:rPr>
                <w:rFonts w:ascii="仿宋" w:hAnsi="仿宋" w:eastAsia="仿宋" w:cs="Calibri"/>
                <w:color w:val="000000" w:themeColor="text1"/>
                <w:kern w:val="0"/>
                <w:sz w:val="24"/>
                <w14:textFill>
                  <w14:solidFill>
                    <w14:schemeClr w14:val="tx1"/>
                  </w14:solidFill>
                </w14:textFill>
              </w:rPr>
            </w:pPr>
            <w:r>
              <w:rPr>
                <w:rFonts w:hint="eastAsia" w:ascii="仿宋" w:hAnsi="仿宋" w:eastAsia="仿宋" w:cs="仿宋"/>
                <w:bCs/>
                <w:color w:val="000000" w:themeColor="text1"/>
                <w:sz w:val="24"/>
                <w:szCs w:val="24"/>
                <w14:textFill>
                  <w14:solidFill>
                    <w14:schemeClr w14:val="tx1"/>
                  </w14:solidFill>
                </w14:textFill>
              </w:rPr>
              <w:t>通过账号密码登录和退出系统。</w:t>
            </w:r>
          </w:p>
        </w:tc>
        <w:tc>
          <w:tcPr>
            <w:tcW w:w="400" w:type="pct"/>
            <w:vAlign w:val="center"/>
          </w:tcPr>
          <w:p w14:paraId="18F86BDD">
            <w:pPr>
              <w:rPr>
                <w:rFonts w:ascii="仿宋" w:hAnsi="仿宋" w:eastAsia="仿宋" w:cs="Calibri"/>
                <w:color w:val="000000" w:themeColor="text1"/>
                <w:kern w:val="0"/>
                <w:sz w:val="24"/>
                <w14:textFill>
                  <w14:solidFill>
                    <w14:schemeClr w14:val="tx1"/>
                  </w14:solidFill>
                </w14:textFill>
              </w:rPr>
            </w:pPr>
          </w:p>
        </w:tc>
      </w:tr>
    </w:tbl>
    <w:p w14:paraId="7EFB67C1">
      <w:pPr>
        <w:pStyle w:val="12"/>
        <w:keepNext/>
        <w:numPr>
          <w:ilvl w:val="0"/>
          <w:numId w:val="1"/>
        </w:numPr>
        <w:spacing w:line="360" w:lineRule="auto"/>
        <w:ind w:firstLineChars="0"/>
        <w:outlineLvl w:val="0"/>
        <w:rPr>
          <w:rFonts w:ascii="仿宋" w:hAnsi="仿宋" w:eastAsia="仿宋"/>
          <w:b/>
          <w:color w:val="000000" w:themeColor="text1"/>
          <w:sz w:val="32"/>
          <w:szCs w:val="32"/>
          <w14:textFill>
            <w14:solidFill>
              <w14:schemeClr w14:val="tx1"/>
            </w14:solidFill>
          </w14:textFill>
        </w:rPr>
      </w:pPr>
      <w:r>
        <w:rPr>
          <w:rFonts w:hint="eastAsia" w:ascii="仿宋" w:hAnsi="仿宋" w:eastAsia="仿宋"/>
          <w:b/>
          <w:color w:val="000000" w:themeColor="text1"/>
          <w:sz w:val="32"/>
          <w:szCs w:val="32"/>
          <w14:textFill>
            <w14:solidFill>
              <w14:schemeClr w14:val="tx1"/>
            </w14:solidFill>
          </w14:textFill>
        </w:rPr>
        <w:t>功能说明</w:t>
      </w:r>
    </w:p>
    <w:p w14:paraId="58647705">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首页</w:t>
      </w:r>
    </w:p>
    <w:p w14:paraId="7AF93C78">
      <w:pPr>
        <w:spacing w:line="360" w:lineRule="auto"/>
        <w:ind w:firstLine="560" w:firstLineChars="200"/>
      </w:pPr>
      <w:r>
        <w:rPr>
          <w:rFonts w:hint="eastAsia" w:ascii="仿宋" w:hAnsi="仿宋" w:eastAsia="仿宋"/>
          <w:color w:val="000000" w:themeColor="text1"/>
          <w:sz w:val="28"/>
          <w:szCs w:val="24"/>
          <w14:textFill>
            <w14:solidFill>
              <w14:schemeClr w14:val="tx1"/>
            </w14:solidFill>
          </w14:textFill>
        </w:rPr>
        <w:t>按照医生、机构、区域三种角色进行信息展示，展示区域内容与居民相关的指标信息。</w:t>
      </w:r>
    </w:p>
    <w:p w14:paraId="0051C819">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计划提醒</w:t>
      </w:r>
    </w:p>
    <w:p w14:paraId="549C290D">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服务计划</w:t>
      </w:r>
    </w:p>
    <w:p w14:paraId="1974A536">
      <w:pPr>
        <w:spacing w:line="360" w:lineRule="auto"/>
        <w:ind w:firstLine="560" w:firstLineChars="200"/>
      </w:pPr>
      <w:r>
        <w:rPr>
          <w:rFonts w:hint="eastAsia" w:ascii="仿宋" w:hAnsi="仿宋" w:eastAsia="仿宋"/>
          <w:color w:val="000000" w:themeColor="text1"/>
          <w:sz w:val="28"/>
          <w:szCs w:val="24"/>
          <w14:textFill>
            <w14:solidFill>
              <w14:schemeClr w14:val="tx1"/>
            </w14:solidFill>
          </w14:textFill>
        </w:rPr>
        <w:t>按照高血压、糖尿病、肺结核、严重精神障碍、儿童、孕产妇分类进行信息展示，展示居民需要进行的服务。</w:t>
      </w:r>
    </w:p>
    <w:p w14:paraId="05DFB4DD">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提醒管理</w:t>
      </w:r>
    </w:p>
    <w:p w14:paraId="006C626F">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基层医疗对患者就诊时，将居民的基本信息、诊疗信息传输给系统，针对该部分信息，系统按照几种情况进行处理。</w:t>
      </w:r>
    </w:p>
    <w:p w14:paraId="0C89EE66">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建档提醒：若改居民在系统未建立居民档案，则会直接纳入建档提醒进行管理。</w:t>
      </w:r>
    </w:p>
    <w:p w14:paraId="6C1B280C">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更新提醒：若居民在系统已建立居民档案，且在就诊过程中出现既往史等信息发生变化，则直接纳入更新提醒进行管理。</w:t>
      </w:r>
    </w:p>
    <w:p w14:paraId="66F59A7F">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慢病提醒：若居民在系统已建立居民档案，且在诊疗时医生下达的I</w:t>
      </w:r>
      <w:r>
        <w:rPr>
          <w:rFonts w:ascii="仿宋" w:hAnsi="仿宋" w:eastAsia="仿宋"/>
          <w:color w:val="000000" w:themeColor="text1"/>
          <w:sz w:val="28"/>
          <w:szCs w:val="24"/>
          <w14:textFill>
            <w14:solidFill>
              <w14:schemeClr w14:val="tx1"/>
            </w14:solidFill>
          </w14:textFill>
        </w:rPr>
        <w:t>CD-10</w:t>
      </w:r>
      <w:r>
        <w:rPr>
          <w:rFonts w:hint="eastAsia" w:ascii="仿宋" w:hAnsi="仿宋" w:eastAsia="仿宋"/>
          <w:color w:val="000000" w:themeColor="text1"/>
          <w:sz w:val="28"/>
          <w:szCs w:val="24"/>
          <w14:textFill>
            <w14:solidFill>
              <w14:schemeClr w14:val="tx1"/>
            </w14:solidFill>
          </w14:textFill>
        </w:rPr>
        <w:t>对应着系统中的疾病，则直接纳入慢病提醒进行管理。</w:t>
      </w:r>
    </w:p>
    <w:p w14:paraId="28D2EE8C">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孕妇提醒：若居民在系统已建立居民档案和妇女档案，且在诊疗时医生下达的I</w:t>
      </w:r>
      <w:r>
        <w:rPr>
          <w:rFonts w:ascii="仿宋" w:hAnsi="仿宋" w:eastAsia="仿宋"/>
          <w:color w:val="000000" w:themeColor="text1"/>
          <w:sz w:val="28"/>
          <w:szCs w:val="24"/>
          <w14:textFill>
            <w14:solidFill>
              <w14:schemeClr w14:val="tx1"/>
            </w14:solidFill>
          </w14:textFill>
        </w:rPr>
        <w:t>CD-10</w:t>
      </w:r>
      <w:r>
        <w:rPr>
          <w:rFonts w:hint="eastAsia" w:ascii="仿宋" w:hAnsi="仿宋" w:eastAsia="仿宋"/>
          <w:color w:val="000000" w:themeColor="text1"/>
          <w:sz w:val="28"/>
          <w:szCs w:val="24"/>
          <w14:textFill>
            <w14:solidFill>
              <w14:schemeClr w14:val="tx1"/>
            </w14:solidFill>
          </w14:textFill>
        </w:rPr>
        <w:t>对应着系统中的孕妇，则直接纳入孕妇提醒进行管理。</w:t>
      </w:r>
    </w:p>
    <w:p w14:paraId="544B1190">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孕阻断提醒：若居民在系统已建立居民档案、妇女档案和孕产妇档案，且在诊疗时医生下达的I</w:t>
      </w:r>
      <w:r>
        <w:rPr>
          <w:rFonts w:ascii="仿宋" w:hAnsi="仿宋" w:eastAsia="仿宋"/>
          <w:color w:val="000000" w:themeColor="text1"/>
          <w:sz w:val="28"/>
          <w:szCs w:val="24"/>
          <w14:textFill>
            <w14:solidFill>
              <w14:schemeClr w14:val="tx1"/>
            </w14:solidFill>
          </w14:textFill>
        </w:rPr>
        <w:t>CD-10</w:t>
      </w:r>
      <w:r>
        <w:rPr>
          <w:rFonts w:hint="eastAsia" w:ascii="仿宋" w:hAnsi="仿宋" w:eastAsia="仿宋"/>
          <w:color w:val="000000" w:themeColor="text1"/>
          <w:sz w:val="28"/>
          <w:szCs w:val="24"/>
          <w14:textFill>
            <w14:solidFill>
              <w14:schemeClr w14:val="tx1"/>
            </w14:solidFill>
          </w14:textFill>
        </w:rPr>
        <w:t>对应着系统中的孕妇，则直接纳入孕妇提醒进行管理。</w:t>
      </w:r>
    </w:p>
    <w:p w14:paraId="5EED9B99">
      <w:pPr>
        <w:spacing w:line="360" w:lineRule="auto"/>
        <w:ind w:firstLine="560" w:firstLineChars="200"/>
      </w:pPr>
      <w:r>
        <w:rPr>
          <w:rFonts w:hint="eastAsia" w:ascii="仿宋" w:hAnsi="仿宋" w:eastAsia="仿宋"/>
          <w:color w:val="000000" w:themeColor="text1"/>
          <w:sz w:val="28"/>
          <w:szCs w:val="24"/>
          <w14:textFill>
            <w14:solidFill>
              <w14:schemeClr w14:val="tx1"/>
            </w14:solidFill>
          </w14:textFill>
        </w:rPr>
        <w:t>婴阻断提醒：若居民的母亲在系统已建立分娩档案和艾梅乙相关的档案，且在诊疗时医生下达的I</w:t>
      </w:r>
      <w:r>
        <w:rPr>
          <w:rFonts w:ascii="仿宋" w:hAnsi="仿宋" w:eastAsia="仿宋"/>
          <w:color w:val="000000" w:themeColor="text1"/>
          <w:sz w:val="28"/>
          <w:szCs w:val="24"/>
          <w14:textFill>
            <w14:solidFill>
              <w14:schemeClr w14:val="tx1"/>
            </w14:solidFill>
          </w14:textFill>
        </w:rPr>
        <w:t>CD-10</w:t>
      </w:r>
      <w:r>
        <w:rPr>
          <w:rFonts w:hint="eastAsia" w:ascii="仿宋" w:hAnsi="仿宋" w:eastAsia="仿宋"/>
          <w:color w:val="000000" w:themeColor="text1"/>
          <w:sz w:val="28"/>
          <w:szCs w:val="24"/>
          <w14:textFill>
            <w14:solidFill>
              <w14:schemeClr w14:val="tx1"/>
            </w14:solidFill>
          </w14:textFill>
        </w:rPr>
        <w:t>对应着系统中的艾梅乙，则直接纳入婴妇提醒进行管理。</w:t>
      </w:r>
    </w:p>
    <w:p w14:paraId="1656EADE">
      <w:pPr>
        <w:spacing w:line="360" w:lineRule="auto"/>
      </w:pPr>
      <w:r>
        <w:drawing>
          <wp:inline distT="0" distB="0" distL="0" distR="0">
            <wp:extent cx="18249900" cy="91916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8249900" cy="9191625"/>
                    </a:xfrm>
                    <a:prstGeom prst="rect">
                      <a:avLst/>
                    </a:prstGeom>
                  </pic:spPr>
                </pic:pic>
              </a:graphicData>
            </a:graphic>
          </wp:inline>
        </w:drawing>
      </w:r>
    </w:p>
    <w:p w14:paraId="5B9EDA57">
      <w:pPr>
        <w:spacing w:line="360" w:lineRule="auto"/>
      </w:pPr>
      <w:r>
        <w:drawing>
          <wp:inline distT="0" distB="0" distL="0" distR="0">
            <wp:extent cx="18259425" cy="91725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18259425" cy="9172575"/>
                    </a:xfrm>
                    <a:prstGeom prst="rect">
                      <a:avLst/>
                    </a:prstGeom>
                  </pic:spPr>
                </pic:pic>
              </a:graphicData>
            </a:graphic>
          </wp:inline>
        </w:drawing>
      </w:r>
      <w:r>
        <w:drawing>
          <wp:inline distT="0" distB="0" distL="0" distR="0">
            <wp:extent cx="18249900" cy="91725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18249900" cy="9172575"/>
                    </a:xfrm>
                    <a:prstGeom prst="rect">
                      <a:avLst/>
                    </a:prstGeom>
                  </pic:spPr>
                </pic:pic>
              </a:graphicData>
            </a:graphic>
          </wp:inline>
        </w:drawing>
      </w:r>
      <w:r>
        <w:drawing>
          <wp:inline distT="0" distB="0" distL="0" distR="0">
            <wp:extent cx="18249900" cy="91630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18249900" cy="9163050"/>
                    </a:xfrm>
                    <a:prstGeom prst="rect">
                      <a:avLst/>
                    </a:prstGeom>
                  </pic:spPr>
                </pic:pic>
              </a:graphicData>
            </a:graphic>
          </wp:inline>
        </w:drawing>
      </w:r>
      <w:r>
        <w:drawing>
          <wp:inline distT="0" distB="0" distL="0" distR="0">
            <wp:extent cx="18211800" cy="9086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18211800" cy="9086850"/>
                    </a:xfrm>
                    <a:prstGeom prst="rect">
                      <a:avLst/>
                    </a:prstGeom>
                  </pic:spPr>
                </pic:pic>
              </a:graphicData>
            </a:graphic>
          </wp:inline>
        </w:drawing>
      </w:r>
      <w:r>
        <w:drawing>
          <wp:inline distT="0" distB="0" distL="0" distR="0">
            <wp:extent cx="18240375" cy="91725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18240375" cy="9172575"/>
                    </a:xfrm>
                    <a:prstGeom prst="rect">
                      <a:avLst/>
                    </a:prstGeom>
                  </pic:spPr>
                </pic:pic>
              </a:graphicData>
            </a:graphic>
          </wp:inline>
        </w:drawing>
      </w:r>
      <w:r>
        <w:drawing>
          <wp:inline distT="0" distB="0" distL="0" distR="0">
            <wp:extent cx="18259425" cy="916305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18259425" cy="9163050"/>
                    </a:xfrm>
                    <a:prstGeom prst="rect">
                      <a:avLst/>
                    </a:prstGeom>
                  </pic:spPr>
                </pic:pic>
              </a:graphicData>
            </a:graphic>
          </wp:inline>
        </w:drawing>
      </w:r>
    </w:p>
    <w:p w14:paraId="0C95A9F1">
      <w:pPr>
        <w:pStyle w:val="18"/>
        <w:ind w:firstLine="562"/>
        <w:rPr>
          <w:rFonts w:ascii="仿宋" w:hAnsi="仿宋" w:eastAsia="仿宋" w:cs="仿宋"/>
          <w:b/>
          <w:bCs/>
          <w:color w:val="FF0000"/>
          <w:sz w:val="28"/>
          <w:szCs w:val="32"/>
        </w:rPr>
      </w:pPr>
      <w:r>
        <w:rPr>
          <w:rFonts w:hint="eastAsia" w:ascii="仿宋" w:hAnsi="仿宋" w:eastAsia="仿宋" w:cs="仿宋"/>
          <w:b/>
          <w:bCs/>
          <w:color w:val="FF0000"/>
          <w:sz w:val="28"/>
          <w:szCs w:val="32"/>
        </w:rPr>
        <w:t>演示要求：</w:t>
      </w:r>
    </w:p>
    <w:p w14:paraId="5D7D4D45">
      <w:pPr>
        <w:pStyle w:val="18"/>
        <w:ind w:firstLine="560"/>
      </w:pPr>
      <w:r>
        <w:rPr>
          <w:rFonts w:hint="eastAsia" w:ascii="仿宋" w:hAnsi="仿宋" w:eastAsia="仿宋" w:cs="仿宋"/>
          <w:color w:val="FF0000"/>
          <w:sz w:val="28"/>
          <w:szCs w:val="32"/>
        </w:rPr>
        <w:t>输入账号密码登录公卫系统，先将疾病诊疗设置中诊疗信息与I</w:t>
      </w:r>
      <w:r>
        <w:rPr>
          <w:rFonts w:ascii="仿宋" w:hAnsi="仿宋" w:eastAsia="仿宋" w:cs="仿宋"/>
          <w:color w:val="FF0000"/>
          <w:sz w:val="28"/>
          <w:szCs w:val="32"/>
        </w:rPr>
        <w:t>CD10</w:t>
      </w:r>
      <w:r>
        <w:rPr>
          <w:rFonts w:hint="eastAsia" w:ascii="仿宋" w:hAnsi="仿宋" w:eastAsia="仿宋" w:cs="仿宋"/>
          <w:color w:val="FF0000"/>
          <w:sz w:val="28"/>
          <w:szCs w:val="32"/>
        </w:rPr>
        <w:t>进行对照，然后去门诊医生站使用患者进行就诊，医生就诊结束后，进入对应的提醒界面进行信息查看和操作。患者在公卫的情况应该按照上述各个提醒的说明进行管理。</w:t>
      </w:r>
    </w:p>
    <w:p w14:paraId="1B7A49CB">
      <w:pPr>
        <w:spacing w:line="360" w:lineRule="auto"/>
      </w:pPr>
    </w:p>
    <w:p w14:paraId="13568C4D">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档案管理</w:t>
      </w:r>
    </w:p>
    <w:p w14:paraId="722A2D4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居民档案</w:t>
      </w:r>
    </w:p>
    <w:p w14:paraId="2B299D89">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新建档案时居民信息可通过读取身份证或者手动录入方式进行录入设置封面信息，建立个人档案基本信息，并完善健康信息卡，也可对死亡登记表进行管理。</w:t>
      </w:r>
    </w:p>
    <w:p w14:paraId="768D5EEB">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▲实名建档，可根据区域要求开放和关闭该功能，功能开放后居民建档时，则只能通过刷身份证来进行档案建立。</w:t>
      </w:r>
    </w:p>
    <w:p w14:paraId="287F4885">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▲个人健康首页，以居民全生命周期为维度展示服务记录，支持文档模式及时间轴模式，并提供三维图展示居民服务记录。</w:t>
      </w:r>
    </w:p>
    <w:p w14:paraId="360DE691">
      <w:pPr>
        <w:spacing w:line="360" w:lineRule="auto"/>
        <w:rPr>
          <w:rFonts w:ascii="仿宋" w:hAnsi="仿宋" w:eastAsia="仿宋"/>
          <w:color w:val="000000" w:themeColor="text1"/>
          <w:sz w:val="28"/>
          <w:szCs w:val="24"/>
          <w14:textFill>
            <w14:solidFill>
              <w14:schemeClr w14:val="tx1"/>
            </w14:solidFill>
          </w14:textFill>
        </w:rPr>
      </w:pPr>
      <w:r>
        <w:drawing>
          <wp:inline distT="0" distB="0" distL="0" distR="0">
            <wp:extent cx="18240375" cy="9215120"/>
            <wp:effectExtent l="0" t="0" r="9525" b="5080"/>
            <wp:docPr id="7" name="图片 7" descr="C:\Users\Lenovo\AppData\Roaming\DingTalk\10474484_v2\ImageFiles\1673507675338_99A7372B-5ACB-4538-A9A6-028E74EC43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Lenovo\AppData\Roaming\DingTalk\10474484_v2\ImageFiles\1673507675338_99A7372B-5ACB-4538-A9A6-028E74EC43C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240375" cy="9215120"/>
                    </a:xfrm>
                    <a:prstGeom prst="rect">
                      <a:avLst/>
                    </a:prstGeom>
                    <a:noFill/>
                    <a:ln>
                      <a:noFill/>
                    </a:ln>
                  </pic:spPr>
                </pic:pic>
              </a:graphicData>
            </a:graphic>
          </wp:inline>
        </w:drawing>
      </w:r>
    </w:p>
    <w:p w14:paraId="4E5310C2">
      <w:pPr>
        <w:spacing w:line="360" w:lineRule="auto"/>
        <w:rPr>
          <w:rFonts w:ascii="仿宋" w:hAnsi="仿宋" w:eastAsia="仿宋"/>
          <w:color w:val="000000" w:themeColor="text1"/>
          <w:sz w:val="28"/>
          <w:szCs w:val="24"/>
          <w14:textFill>
            <w14:solidFill>
              <w14:schemeClr w14:val="tx1"/>
            </w14:solidFill>
          </w14:textFill>
        </w:rPr>
      </w:pPr>
    </w:p>
    <w:p w14:paraId="72E2126D">
      <w:pPr>
        <w:spacing w:line="360" w:lineRule="auto"/>
        <w:rPr>
          <w:rFonts w:ascii="仿宋" w:hAnsi="仿宋" w:eastAsia="仿宋"/>
          <w:color w:val="000000" w:themeColor="text1"/>
          <w:sz w:val="28"/>
          <w:szCs w:val="24"/>
          <w14:textFill>
            <w14:solidFill>
              <w14:schemeClr w14:val="tx1"/>
            </w14:solidFill>
          </w14:textFill>
        </w:rPr>
      </w:pPr>
      <w:r>
        <w:drawing>
          <wp:inline distT="0" distB="0" distL="0" distR="0">
            <wp:extent cx="18275935" cy="9203690"/>
            <wp:effectExtent l="0" t="0" r="0" b="0"/>
            <wp:docPr id="2" name="图片 2" descr="C:\Users\Lenovo\Desktop\系统特色截图\公共卫生\4.文档模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enovo\Desktop\系统特色截图\公共卫生\4.文档模式.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275935" cy="9203690"/>
                    </a:xfrm>
                    <a:prstGeom prst="rect">
                      <a:avLst/>
                    </a:prstGeom>
                    <a:noFill/>
                    <a:ln>
                      <a:noFill/>
                    </a:ln>
                  </pic:spPr>
                </pic:pic>
              </a:graphicData>
            </a:graphic>
          </wp:inline>
        </w:drawing>
      </w:r>
    </w:p>
    <w:p w14:paraId="38A4E939">
      <w:pPr>
        <w:pStyle w:val="18"/>
        <w:ind w:firstLine="562"/>
        <w:rPr>
          <w:rFonts w:ascii="仿宋" w:hAnsi="仿宋" w:eastAsia="仿宋" w:cs="仿宋"/>
          <w:b/>
          <w:bCs/>
          <w:color w:val="FF0000"/>
          <w:sz w:val="28"/>
          <w:szCs w:val="32"/>
        </w:rPr>
      </w:pPr>
      <w:r>
        <w:rPr>
          <w:rFonts w:hint="eastAsia" w:ascii="仿宋" w:hAnsi="仿宋" w:eastAsia="仿宋" w:cs="仿宋"/>
          <w:b/>
          <w:bCs/>
          <w:color w:val="FF0000"/>
          <w:sz w:val="28"/>
          <w:szCs w:val="32"/>
        </w:rPr>
        <w:t>演示要求：</w:t>
      </w:r>
    </w:p>
    <w:p w14:paraId="2993F099">
      <w:pPr>
        <w:pStyle w:val="18"/>
        <w:ind w:firstLine="560"/>
      </w:pPr>
      <w:r>
        <w:rPr>
          <w:rFonts w:hint="eastAsia" w:ascii="仿宋" w:hAnsi="仿宋" w:eastAsia="仿宋" w:cs="仿宋"/>
          <w:color w:val="FF0000"/>
          <w:sz w:val="28"/>
          <w:szCs w:val="32"/>
        </w:rPr>
        <w:t>输入账号密码登录公卫系统，先建立居民档案，居民档案建立后，可未居民建立相应的业务，业务建立成功后，切换个人首页查看居民的总述情况。数据稍全一些，容易展示看到效果。</w:t>
      </w:r>
    </w:p>
    <w:p w14:paraId="15916933"/>
    <w:p w14:paraId="57187A20">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家庭档案</w:t>
      </w:r>
    </w:p>
    <w:p w14:paraId="352073A8">
      <w:pPr>
        <w:spacing w:line="360" w:lineRule="auto"/>
        <w:ind w:firstLine="560" w:firstLineChars="200"/>
      </w:pPr>
      <w:r>
        <w:rPr>
          <w:rFonts w:hint="eastAsia" w:ascii="仿宋" w:hAnsi="仿宋" w:eastAsia="仿宋"/>
          <w:color w:val="000000" w:themeColor="text1"/>
          <w:sz w:val="28"/>
          <w:szCs w:val="24"/>
          <w14:textFill>
            <w14:solidFill>
              <w14:schemeClr w14:val="tx1"/>
            </w14:solidFill>
          </w14:textFill>
        </w:rPr>
        <w:t>建立家庭基本信息设定户主，添加家庭成员，对于特殊家庭可添加精准扶贫业务。同一居民只能加入一个家庭。</w:t>
      </w:r>
    </w:p>
    <w:p w14:paraId="6111FC68">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健康体检</w:t>
      </w:r>
    </w:p>
    <w:p w14:paraId="705101D8">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先进行体检登记，登记后录入健康体检内容，录入后可结合用户体检情况和当前录入慢病情况自动为用户生成体检异常内容以供医生使用。且为用户提供四种类型体检表单，</w:t>
      </w:r>
    </w:p>
    <w:p w14:paraId="6EC0AA23">
      <w:pPr>
        <w:spacing w:line="360" w:lineRule="auto"/>
        <w:ind w:firstLine="48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s="宋体"/>
          <w:color w:val="000000" w:themeColor="text1"/>
          <w:kern w:val="0"/>
          <w:sz w:val="24"/>
          <w14:textFill>
            <w14:solidFill>
              <w14:schemeClr w14:val="tx1"/>
            </w14:solidFill>
          </w14:textFill>
        </w:rPr>
        <w:t>▲</w:t>
      </w:r>
      <w:r>
        <w:rPr>
          <w:rFonts w:hint="eastAsia" w:ascii="仿宋" w:hAnsi="仿宋" w:eastAsia="仿宋"/>
          <w:color w:val="000000" w:themeColor="text1"/>
          <w:sz w:val="28"/>
          <w:szCs w:val="24"/>
          <w14:textFill>
            <w14:solidFill>
              <w14:schemeClr w14:val="tx1"/>
            </w14:solidFill>
          </w14:textFill>
        </w:rPr>
        <w:t>体检健康评价及健康指导，体检信息录入后结合用户体检情况与当前录入慢病情况自动为用户生成体检异常内容。</w:t>
      </w:r>
    </w:p>
    <w:p w14:paraId="704BE57E">
      <w:pPr>
        <w:spacing w:line="360" w:lineRule="auto"/>
        <w:rPr>
          <w:rFonts w:ascii="仿宋" w:hAnsi="仿宋" w:eastAsia="仿宋"/>
          <w:color w:val="000000" w:themeColor="text1"/>
          <w:sz w:val="28"/>
          <w:szCs w:val="24"/>
          <w14:textFill>
            <w14:solidFill>
              <w14:schemeClr w14:val="tx1"/>
            </w14:solidFill>
          </w14:textFill>
        </w:rPr>
      </w:pPr>
      <w:r>
        <w:drawing>
          <wp:inline distT="0" distB="0" distL="0" distR="0">
            <wp:extent cx="18288000" cy="80962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18288000" cy="8096250"/>
                    </a:xfrm>
                    <a:prstGeom prst="rect">
                      <a:avLst/>
                    </a:prstGeom>
                  </pic:spPr>
                </pic:pic>
              </a:graphicData>
            </a:graphic>
          </wp:inline>
        </w:drawing>
      </w:r>
    </w:p>
    <w:p w14:paraId="2AAFF874">
      <w:pPr>
        <w:spacing w:line="360" w:lineRule="auto"/>
        <w:rPr>
          <w:rFonts w:ascii="仿宋" w:hAnsi="仿宋" w:eastAsia="仿宋"/>
          <w:color w:val="000000" w:themeColor="text1"/>
          <w:sz w:val="28"/>
          <w:szCs w:val="24"/>
          <w14:textFill>
            <w14:solidFill>
              <w14:schemeClr w14:val="tx1"/>
            </w14:solidFill>
          </w14:textFill>
        </w:rPr>
      </w:pPr>
      <w:r>
        <w:drawing>
          <wp:inline distT="0" distB="0" distL="0" distR="0">
            <wp:extent cx="18278475" cy="81248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18278475" cy="8124825"/>
                    </a:xfrm>
                    <a:prstGeom prst="rect">
                      <a:avLst/>
                    </a:prstGeom>
                  </pic:spPr>
                </pic:pic>
              </a:graphicData>
            </a:graphic>
          </wp:inline>
        </w:drawing>
      </w:r>
    </w:p>
    <w:p w14:paraId="3BDB4059">
      <w:pPr>
        <w:spacing w:line="360" w:lineRule="auto"/>
        <w:rPr>
          <w:rFonts w:ascii="仿宋" w:hAnsi="仿宋" w:eastAsia="仿宋"/>
          <w:color w:val="000000" w:themeColor="text1"/>
          <w:sz w:val="28"/>
          <w:szCs w:val="24"/>
          <w14:textFill>
            <w14:solidFill>
              <w14:schemeClr w14:val="tx1"/>
            </w14:solidFill>
          </w14:textFill>
        </w:rPr>
      </w:pPr>
      <w:r>
        <w:drawing>
          <wp:inline distT="0" distB="0" distL="0" distR="0">
            <wp:extent cx="18240375" cy="80867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18240375" cy="8086725"/>
                    </a:xfrm>
                    <a:prstGeom prst="rect">
                      <a:avLst/>
                    </a:prstGeom>
                  </pic:spPr>
                </pic:pic>
              </a:graphicData>
            </a:graphic>
          </wp:inline>
        </w:drawing>
      </w:r>
    </w:p>
    <w:p w14:paraId="654077BD">
      <w:pPr>
        <w:spacing w:line="360" w:lineRule="auto"/>
        <w:rPr>
          <w:rFonts w:ascii="仿宋" w:hAnsi="仿宋" w:eastAsia="仿宋"/>
          <w:color w:val="000000" w:themeColor="text1"/>
          <w:sz w:val="28"/>
          <w:szCs w:val="24"/>
          <w14:textFill>
            <w14:solidFill>
              <w14:schemeClr w14:val="tx1"/>
            </w14:solidFill>
          </w14:textFill>
        </w:rPr>
      </w:pPr>
      <w:r>
        <w:drawing>
          <wp:inline distT="0" distB="0" distL="0" distR="0">
            <wp:extent cx="18268950" cy="80962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18268950" cy="8096250"/>
                    </a:xfrm>
                    <a:prstGeom prst="rect">
                      <a:avLst/>
                    </a:prstGeom>
                  </pic:spPr>
                </pic:pic>
              </a:graphicData>
            </a:graphic>
          </wp:inline>
        </w:drawing>
      </w:r>
    </w:p>
    <w:p w14:paraId="42B70697"/>
    <w:p w14:paraId="0A0D195F">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残疾档案</w:t>
      </w:r>
    </w:p>
    <w:p w14:paraId="1225126F">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对于残疾的居民，可为其建立残疾基本信息登记，以便区域对其进行管理。</w:t>
      </w:r>
    </w:p>
    <w:p w14:paraId="7DA3B580"/>
    <w:p w14:paraId="33930118">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档案迁移</w:t>
      </w:r>
    </w:p>
    <w:p w14:paraId="5607930D">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针对当下不在管辖范围内的居民可对其进行档案迁入迁出操作，以便迁移后可对居民的信息进行管理。</w:t>
      </w:r>
    </w:p>
    <w:p w14:paraId="1F5489C6"/>
    <w:p w14:paraId="299DB64F">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迁移审核</w:t>
      </w:r>
    </w:p>
    <w:p w14:paraId="4684C8B6">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对于发起档案迁移的档案，按照机构需要，可对进行进行迁入迁出审核后，档案方可完成迁移。迁移审核可控，档案迁移过程中涉及审核流程，及相应流程中的审核人员，可自动配置。</w:t>
      </w:r>
    </w:p>
    <w:p w14:paraId="130DB613"/>
    <w:p w14:paraId="2267BE35">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档案恢复</w:t>
      </w:r>
    </w:p>
    <w:p w14:paraId="318EE09D">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系统中的居民相关的主要业务，档案信息被删除后，可在此处进行档案恢复。</w:t>
      </w:r>
    </w:p>
    <w:p w14:paraId="0CE6FF94"/>
    <w:p w14:paraId="25D671F9">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档案查阅记录</w:t>
      </w:r>
    </w:p>
    <w:p w14:paraId="64FB6569">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系统对外提供档案调阅，调阅后存留调阅记录。</w:t>
      </w:r>
    </w:p>
    <w:p w14:paraId="41E0CCBC">
      <w:r>
        <w:drawing>
          <wp:inline distT="0" distB="0" distL="0" distR="0">
            <wp:extent cx="17059910" cy="7952105"/>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17060400" cy="7952400"/>
                    </a:xfrm>
                    <a:prstGeom prst="rect">
                      <a:avLst/>
                    </a:prstGeom>
                  </pic:spPr>
                </pic:pic>
              </a:graphicData>
            </a:graphic>
          </wp:inline>
        </w:drawing>
      </w:r>
    </w:p>
    <w:p w14:paraId="69903C1E">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慢病管理</w:t>
      </w:r>
    </w:p>
    <w:p w14:paraId="2941939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高血压管理</w:t>
      </w:r>
    </w:p>
    <w:p w14:paraId="4A2C94E0">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居民确诊高血压后，建立高血压专项档案，进行随访服务和评估服务。此处可自行对下次随访的计划周期和提前计划周期进行设置。</w:t>
      </w:r>
    </w:p>
    <w:p w14:paraId="2B5844CC">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2型糖尿病管理</w:t>
      </w:r>
    </w:p>
    <w:p w14:paraId="6CF9EBCD">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居民确诊2型糖尿病后，建立糖尿病专项档案，进行随访服务和评估服务。此处可自行对下次随访的计划周期和提前计划周期进行设置。</w:t>
      </w:r>
    </w:p>
    <w:p w14:paraId="40E9F705">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高血脂管理</w:t>
      </w:r>
    </w:p>
    <w:p w14:paraId="63795620">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居民确诊高血脂后，建立高血脂专项档案，进行随访服务。</w:t>
      </w:r>
    </w:p>
    <w:p w14:paraId="442291E7">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肿瘤病患者健康管理</w:t>
      </w:r>
    </w:p>
    <w:p w14:paraId="7D442B93">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居民确诊肿瘤后，建立肿瘤专项档案，进行随访服务。</w:t>
      </w:r>
    </w:p>
    <w:p w14:paraId="5E83EF10">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心脑血管管理</w:t>
      </w:r>
    </w:p>
    <w:p w14:paraId="1484AE8D">
      <w:pPr>
        <w:pStyle w:val="11"/>
        <w:spacing w:line="360" w:lineRule="auto"/>
        <w:ind w:firstLine="56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居民确诊心脑血管后，建立心脑血管评估档案，进行随访服务。</w:t>
      </w:r>
    </w:p>
    <w:p w14:paraId="3A91EB84">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慢阻肺患者健康管理</w:t>
      </w:r>
    </w:p>
    <w:p w14:paraId="7F8B2FB1">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居民确诊慢阻肺后，建立慢阻肺专项档案，进行随访服务。</w:t>
      </w:r>
    </w:p>
    <w:p w14:paraId="11BE4EC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高危人群管理</w:t>
      </w:r>
    </w:p>
    <w:p w14:paraId="0F8C2116">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于在高血压或糖尿病方面有风险的居民，建立高危专项档案，进行随访服务，若居民风险项控制后稳定正常则可直接结案，下次若仍患有该情况则重新建立档案即可。此处可自行对下次随访的计划周期和提前计划周期进行设置。</w:t>
      </w:r>
    </w:p>
    <w:p w14:paraId="01A64685">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重精管理</w:t>
      </w:r>
    </w:p>
    <w:p w14:paraId="38B9C5BD">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对于确诊患有精神障碍的居民，建立严重精神障碍患者第一次随访，随后进行随访服务。此处可自行对下次随访的计划周期和提前计划周期进行设置。</w:t>
      </w:r>
    </w:p>
    <w:p w14:paraId="49E3B7E1">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结核管理</w:t>
      </w:r>
    </w:p>
    <w:p w14:paraId="59891D99">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对于确诊患有肺结核的居民，建立肺结核专项，随后进行随访服务，若居民治愈则可直接结案，下次若仍患有该情况则重新建立档案即可。此处可自行对下次随访的计划周期和提前计划周期进行设置。</w:t>
      </w:r>
    </w:p>
    <w:p w14:paraId="3766257F">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中医药管理</w:t>
      </w:r>
    </w:p>
    <w:p w14:paraId="64B94F01">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老年人中医药健康管理</w:t>
      </w:r>
    </w:p>
    <w:p w14:paraId="3418B959">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针对老年人的老年人中医药健康信息进行档案登记管理。</w:t>
      </w:r>
    </w:p>
    <w:p w14:paraId="338B58F5">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儿童中医药健康管理</w:t>
      </w:r>
    </w:p>
    <w:p w14:paraId="03E08FBE">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针对儿童的儿童中医药健康信息档案进行登记管理。</w:t>
      </w:r>
    </w:p>
    <w:p w14:paraId="58F70C3E">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中医药健康管理</w:t>
      </w:r>
    </w:p>
    <w:p w14:paraId="5F9A240E">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针对居民的中医体质辨识、中医药健康指导进行登记管理。</w:t>
      </w:r>
    </w:p>
    <w:p w14:paraId="33590755">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妇幼保健</w:t>
      </w:r>
    </w:p>
    <w:p w14:paraId="797B1FE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妇女管理</w:t>
      </w:r>
    </w:p>
    <w:p w14:paraId="705A1FE4">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建立妇女档案，档案建立时可手动录入用户信息或刷身份证获取信息，关联个人档案完善妇女档案。可对婚前医学检查、叶酸登记、孕前医学检查、常见妇女病检查等相应档案进行登记管理。</w:t>
      </w:r>
    </w:p>
    <w:p w14:paraId="2562ACD8">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孕产妇管理</w:t>
      </w:r>
    </w:p>
    <w:p w14:paraId="558D9104">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针对妇女档案建立孕产妇档案，建立后可对第一次产前检查、产前检查、分娩记录、产后访视、产后42天、妊娠风险筛选、妊娠风险评估等信息进行登记管理。此次孕产情况结束后可进行结项，下次进入孕产情况，则重新建立档案。</w:t>
      </w:r>
    </w:p>
    <w:p w14:paraId="3521227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儿童管理</w:t>
      </w:r>
    </w:p>
    <w:p w14:paraId="547E108D">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建立儿童档案，档案建立时可手动录入用户信息或刷身份证获取信息，关联个人档案完善儿童档案。可对儿童的出生医学证明、新生儿家庭访视、1-8月龄儿童健康检查、12-30月龄儿童健康检查、3-6岁儿童健康检查、新生儿视力筛查、新生儿听力筛查、新生儿疾病筛查、儿童眼保健及视力检查、生长发育检测图、5岁以下死亡登记等相应档案进行登记管理。</w:t>
      </w:r>
    </w:p>
    <w:p w14:paraId="586F1CBC">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宫颈癌检查</w:t>
      </w:r>
    </w:p>
    <w:p w14:paraId="39AE4D1C">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此功能隶属于两癌筛查，在登记时，根据用户检查情况登记宫颈癌检查档案。</w:t>
      </w:r>
    </w:p>
    <w:p w14:paraId="6550939D">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乳腺癌检查</w:t>
      </w:r>
    </w:p>
    <w:p w14:paraId="67195DDC">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此功能隶属于两癌筛查，在登记时，首先需要进行乳腺癌登记，然后根据用户检查情况登记乳腺癌个案信息档案。</w:t>
      </w:r>
    </w:p>
    <w:p w14:paraId="5332B9C8">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儿童保健</w:t>
      </w:r>
    </w:p>
    <w:p w14:paraId="212E45B7">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建立儿童档案，档案建立时可手动录入用户信息或刷身份证获取信息，关联个人档案完善儿童档案。可对儿童的出生医学证明、新生儿家庭访视、1-8月龄儿童健康检查、12-30月龄儿童健康检查、3-6岁儿童健康检查、新生儿视力筛查、新生儿听力筛查、新生儿疾病筛查、新生儿期眼保健及视力检查、婴儿期眼保健及视力检查、幼儿儿期眼保健及视力检查、学龄期眼保健及视力检查、生长发育检测图、5岁以下死亡登记等相应档案进行登记管理。</w:t>
      </w:r>
    </w:p>
    <w:p w14:paraId="07354D5C">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计免管理</w:t>
      </w:r>
    </w:p>
    <w:p w14:paraId="22E567AA">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针对儿童档案建立预防接种档案，建立预防接种基本信息，随后录入预防接种信息，对儿童的预防接种情况进行管控。</w:t>
      </w:r>
    </w:p>
    <w:p w14:paraId="08A46179">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两癌筛查</w:t>
      </w:r>
    </w:p>
    <w:p w14:paraId="420E406C">
      <w:pPr>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宫颈癌筛查：此处针对妇女进行宫颈癌检查管控。</w:t>
      </w:r>
    </w:p>
    <w:p w14:paraId="46D3AFDB">
      <w:pPr>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乳腺癌筛查：此处针对妇女进行乳腺癌登记和乳腺癌个案信息管控。</w:t>
      </w:r>
    </w:p>
    <w:p w14:paraId="4D84D4A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母婴阻断</w:t>
      </w:r>
    </w:p>
    <w:p w14:paraId="448EDEF7">
      <w:pPr>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孕产妇乙肝管理：此处针对孕产期间检测出患有乙肝的孕产妇，建立孕产妇乙肝档案并对其进行持续跟踪，孕妇分娩儿童后，为儿童建立乙肝感染妇女妊娠及所生婴儿情况进行登记，随后对儿童建立乙肝感染产妇所生儿童随访情况进行管控。</w:t>
      </w:r>
    </w:p>
    <w:p w14:paraId="64ED8CE2">
      <w:pPr>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孕产妇梅毒管理：此处针对孕产期间检测出患有梅毒的孕产妇，建立梅毒感染妇女基本信息档案并对其进行持续跟踪，孕妇分娩儿童后，为儿童建立梅毒感染妇女妊娠及所生婴儿情况进行登记，随后对儿童建立梅毒感染产妇所生儿童随访情况进行管控，儿童可进行结案操作。</w:t>
      </w:r>
    </w:p>
    <w:p w14:paraId="705DE437">
      <w:pPr>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孕产妇艾滋病管理：处针对孕产期间检测出患有艾滋病的孕产妇，建立孕产妇艾滋病档案并对其进行持续跟踪，孕妇分娩儿童后，为儿童建立艾滋病感染妇女妊娠及所生婴儿情况进行登记，随后对儿童建立艾滋病感染产妇所生儿童随访情况进行管控。</w:t>
      </w:r>
    </w:p>
    <w:p w14:paraId="5D090C90">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老年人管理</w:t>
      </w:r>
    </w:p>
    <w:p w14:paraId="4D185D84">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对居民中符合老年人年龄限制的居民进行单独管理，也可对其自理能力进行登记。老年人的年龄范围系统默认60岁，用户可自行手动检查。</w:t>
      </w:r>
    </w:p>
    <w:p w14:paraId="22505AF5">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健教管理</w:t>
      </w:r>
    </w:p>
    <w:p w14:paraId="7FBE3B6C">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健康教育活动管理</w:t>
      </w:r>
    </w:p>
    <w:p w14:paraId="3FFA96F2">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对机构组织的健康教育活动进行登记管理。</w:t>
      </w:r>
    </w:p>
    <w:p w14:paraId="20A4CD39">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健康教育宣传栏管理</w:t>
      </w:r>
    </w:p>
    <w:p w14:paraId="6D61CD0F">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对机构组织的健康教育宣传栏进行登记管理。</w:t>
      </w:r>
    </w:p>
    <w:p w14:paraId="5C04B1F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健康教育音像管理</w:t>
      </w:r>
    </w:p>
    <w:p w14:paraId="086B4E91">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对机构组织的健康教育音像进行登记管理。</w:t>
      </w:r>
    </w:p>
    <w:p w14:paraId="17B1D371">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健康教育广播管理</w:t>
      </w:r>
    </w:p>
    <w:p w14:paraId="197634B5">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对机构组织的健康教育广播进行登记管理。</w:t>
      </w:r>
    </w:p>
    <w:p w14:paraId="66D0B115">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个体化健康教育管理</w:t>
      </w:r>
    </w:p>
    <w:p w14:paraId="1014AE77">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对居民接受的健康教育内容进行登记管理。</w:t>
      </w:r>
    </w:p>
    <w:p w14:paraId="0475D5C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健康教育计划制定</w:t>
      </w:r>
    </w:p>
    <w:p w14:paraId="37974F98">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上级或卫监为下辖机构制定年度健康教育次数。</w:t>
      </w:r>
    </w:p>
    <w:p w14:paraId="7CDB91A2">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双向转诊</w:t>
      </w:r>
    </w:p>
    <w:p w14:paraId="333A16A3">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暂时居民的转出转入信息。</w:t>
      </w:r>
    </w:p>
    <w:p w14:paraId="0BAB5E70">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突发公卫</w:t>
      </w:r>
    </w:p>
    <w:p w14:paraId="74AAAE84">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对突发公共卫生进行登记管理。</w:t>
      </w:r>
    </w:p>
    <w:p w14:paraId="52F602CD">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卫生监督</w:t>
      </w:r>
    </w:p>
    <w:p w14:paraId="42D64E43">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地点信息维护</w:t>
      </w:r>
    </w:p>
    <w:p w14:paraId="3285275F">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对机构管理的下辖行政村地点进行维护，以便医生对相应地点进行巡查和监控。</w:t>
      </w:r>
    </w:p>
    <w:p w14:paraId="36F35591">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卫监巡查登记</w:t>
      </w:r>
    </w:p>
    <w:p w14:paraId="30267990">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将对地点信息进行卫监巡检档案进行登记管理。</w:t>
      </w:r>
    </w:p>
    <w:p w14:paraId="4F1253A4">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卫监事件报告</w:t>
      </w:r>
    </w:p>
    <w:p w14:paraId="2744AFC1">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将对地点信息进行卫监事件档案进行登记管理。</w:t>
      </w:r>
    </w:p>
    <w:p w14:paraId="72FABDA1">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疾病报卡</w:t>
      </w:r>
      <w:r>
        <w:rPr>
          <w:rFonts w:hint="eastAsia" w:ascii="仿宋" w:hAnsi="仿宋" w:eastAsia="仿宋" w:cs="Arial"/>
          <w:b/>
          <w:color w:val="000000"/>
          <w:kern w:val="0"/>
          <w:sz w:val="32"/>
          <w:szCs w:val="32"/>
        </w:rPr>
        <w:tab/>
      </w:r>
    </w:p>
    <w:p w14:paraId="21E4F241">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传染病报卡</w:t>
      </w:r>
    </w:p>
    <w:p w14:paraId="44A7EE03">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对区域内的传染病进行传染病报卡管理。</w:t>
      </w:r>
    </w:p>
    <w:p w14:paraId="672E73A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早孕报告卡</w:t>
      </w:r>
    </w:p>
    <w:p w14:paraId="7FF35A23">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对区域内的早孕进行早孕报卡管理。</w:t>
      </w:r>
    </w:p>
    <w:p w14:paraId="52AF5FB7">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慢病报告卡</w:t>
      </w:r>
    </w:p>
    <w:p w14:paraId="1DC9085A">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对区域内的慢病进行慢病报卡管理。</w:t>
      </w:r>
    </w:p>
    <w:p w14:paraId="111736DD">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三网监测</w:t>
      </w:r>
    </w:p>
    <w:p w14:paraId="42A07528">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孕产妇死亡管理</w:t>
      </w:r>
    </w:p>
    <w:p w14:paraId="179C9853">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对区域内的孕产妇死亡信息进行登记。</w:t>
      </w:r>
    </w:p>
    <w:p w14:paraId="6D8C7374">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围产儿死亡管理</w:t>
      </w:r>
    </w:p>
    <w:p w14:paraId="1C4E8026">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对区域内的围产儿死亡信息进行登记。</w:t>
      </w:r>
    </w:p>
    <w:p w14:paraId="0A96F013">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新生儿缺陷管理</w:t>
      </w:r>
    </w:p>
    <w:p w14:paraId="0AAEF999">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对区域内的新生儿缺陷信息进行登记。</w:t>
      </w:r>
    </w:p>
    <w:p w14:paraId="75AA0D4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儿童死亡管理</w:t>
      </w:r>
    </w:p>
    <w:p w14:paraId="08B6A284">
      <w:pPr>
        <w:spacing w:line="360" w:lineRule="auto"/>
        <w:ind w:firstLine="560" w:firstLineChars="200"/>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对区域内的儿童死亡信息进行登记。</w:t>
      </w:r>
    </w:p>
    <w:p w14:paraId="16531C1C">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辖区统计</w:t>
      </w:r>
    </w:p>
    <w:p w14:paraId="04283A59">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按照机构展示其辖区内的居民信息统计明细。</w:t>
      </w:r>
    </w:p>
    <w:p w14:paraId="719EDDA1">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系统设置</w:t>
      </w:r>
    </w:p>
    <w:p w14:paraId="15141679">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辖区管理</w:t>
      </w:r>
    </w:p>
    <w:p w14:paraId="31241A1D">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区域为辖区的基本信息进行维护，于报表信息进行展示。</w:t>
      </w:r>
    </w:p>
    <w:p w14:paraId="3EAEE963">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业务模块管理</w:t>
      </w:r>
    </w:p>
    <w:p w14:paraId="1BD8BC05">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建立健康指导模板、老年人中医指导模板、儿童中医指导模板、中医保健模板，以便其使用时直接引用。</w:t>
      </w:r>
    </w:p>
    <w:p w14:paraId="573C551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系统参数管理</w:t>
      </w:r>
    </w:p>
    <w:p w14:paraId="0CABFEEC">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认证参数管理，区域为机构设置业务的认证时间。随访参数维护，对系统中涉及的随访进行相应的参数维护</w:t>
      </w:r>
      <w:r>
        <w:rPr>
          <w:rFonts w:ascii="仿宋" w:hAnsi="仿宋" w:eastAsia="仿宋"/>
          <w:color w:val="000000" w:themeColor="text1"/>
          <w:sz w:val="28"/>
          <w:szCs w:val="24"/>
          <w14:textFill>
            <w14:solidFill>
              <w14:schemeClr w14:val="tx1"/>
            </w14:solidFill>
          </w14:textFill>
        </w:rPr>
        <w:t>,</w:t>
      </w:r>
      <w:r>
        <w:rPr>
          <w:rFonts w:hint="eastAsia" w:ascii="仿宋" w:hAnsi="仿宋" w:eastAsia="仿宋"/>
          <w:color w:val="000000" w:themeColor="text1"/>
          <w:sz w:val="28"/>
          <w:szCs w:val="24"/>
          <w14:textFill>
            <w14:solidFill>
              <w14:schemeClr w14:val="tx1"/>
            </w14:solidFill>
          </w14:textFill>
        </w:rPr>
        <w:t>维护后对应业务的随访表单的判断逻辑会根据调整进行生效。指标参数维护，对首页指标的展示情况进行设置。辖区统计维护，按照用户的使用情况，自行选择展示相应的居民信息明细</w:t>
      </w:r>
      <w:r>
        <w:rPr>
          <w:rFonts w:ascii="仿宋" w:hAnsi="仿宋" w:eastAsia="仿宋"/>
          <w:color w:val="000000" w:themeColor="text1"/>
          <w:sz w:val="28"/>
          <w:szCs w:val="24"/>
          <w14:textFill>
            <w14:solidFill>
              <w14:schemeClr w14:val="tx1"/>
            </w14:solidFill>
          </w14:textFill>
        </w:rPr>
        <w:t>,</w:t>
      </w:r>
      <w:r>
        <w:rPr>
          <w:rFonts w:hint="eastAsia" w:ascii="仿宋" w:hAnsi="仿宋" w:eastAsia="仿宋"/>
          <w:color w:val="000000" w:themeColor="text1"/>
          <w:sz w:val="28"/>
          <w:szCs w:val="24"/>
          <w14:textFill>
            <w14:solidFill>
              <w14:schemeClr w14:val="tx1"/>
            </w14:solidFill>
          </w14:textFill>
        </w:rPr>
        <w:t>维护后辖区管理的信息展示会根据调整进行展示。</w:t>
      </w:r>
    </w:p>
    <w:p w14:paraId="1648C0C7">
      <w:r>
        <w:drawing>
          <wp:inline distT="0" distB="0" distL="0" distR="0">
            <wp:extent cx="18249900" cy="9182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18249900" cy="9182100"/>
                    </a:xfrm>
                    <a:prstGeom prst="rect">
                      <a:avLst/>
                    </a:prstGeom>
                  </pic:spPr>
                </pic:pic>
              </a:graphicData>
            </a:graphic>
          </wp:inline>
        </w:drawing>
      </w:r>
    </w:p>
    <w:p w14:paraId="7E6306B6">
      <w:pPr>
        <w:rPr>
          <w:rFonts w:ascii="仿宋" w:hAnsi="仿宋" w:eastAsia="仿宋"/>
          <w:color w:val="FF0000"/>
          <w:sz w:val="28"/>
          <w:szCs w:val="24"/>
        </w:rPr>
      </w:pPr>
      <w:r>
        <w:rPr>
          <w:rFonts w:hint="eastAsia" w:ascii="仿宋" w:hAnsi="仿宋" w:eastAsia="仿宋"/>
          <w:color w:val="FF0000"/>
          <w:sz w:val="28"/>
          <w:szCs w:val="24"/>
        </w:rPr>
        <w:t>注：维护后对应业务的随访表单的判断逻辑会根据调整进行生效。</w:t>
      </w:r>
    </w:p>
    <w:p w14:paraId="6FF76983"/>
    <w:p w14:paraId="35F19415">
      <w:r>
        <w:drawing>
          <wp:inline distT="0" distB="0" distL="0" distR="0">
            <wp:extent cx="18249900" cy="9163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18249900" cy="9163050"/>
                    </a:xfrm>
                    <a:prstGeom prst="rect">
                      <a:avLst/>
                    </a:prstGeom>
                  </pic:spPr>
                </pic:pic>
              </a:graphicData>
            </a:graphic>
          </wp:inline>
        </w:drawing>
      </w:r>
    </w:p>
    <w:p w14:paraId="4B03A175">
      <w:pPr>
        <w:rPr>
          <w:rFonts w:ascii="仿宋" w:hAnsi="仿宋" w:eastAsia="仿宋"/>
          <w:color w:val="FF0000"/>
          <w:sz w:val="28"/>
          <w:szCs w:val="24"/>
        </w:rPr>
      </w:pPr>
      <w:r>
        <w:rPr>
          <w:rFonts w:hint="eastAsia" w:ascii="仿宋" w:hAnsi="仿宋" w:eastAsia="仿宋"/>
          <w:color w:val="FF0000"/>
          <w:sz w:val="28"/>
          <w:szCs w:val="24"/>
        </w:rPr>
        <w:t>注：维护后辖区统计的信息展示会根据调整进行展示。</w:t>
      </w:r>
    </w:p>
    <w:p w14:paraId="75006FDE"/>
    <w:p w14:paraId="4099B3FE">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补助管理</w:t>
      </w:r>
    </w:p>
    <w:p w14:paraId="54AFA41E">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按照机构展示其辖区内的居民信息统计明细。</w:t>
      </w:r>
    </w:p>
    <w:p w14:paraId="3F309D1E">
      <w:r>
        <w:drawing>
          <wp:inline distT="0" distB="0" distL="0" distR="0">
            <wp:extent cx="18240375" cy="91725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18240375" cy="9172575"/>
                    </a:xfrm>
                    <a:prstGeom prst="rect">
                      <a:avLst/>
                    </a:prstGeom>
                  </pic:spPr>
                </pic:pic>
              </a:graphicData>
            </a:graphic>
          </wp:inline>
        </w:drawing>
      </w:r>
    </w:p>
    <w:p w14:paraId="639AE02D">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疾病诊疗设置</w:t>
      </w:r>
    </w:p>
    <w:p w14:paraId="566F725F">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按照机构展示其辖区内的居民信息统计明细。</w:t>
      </w:r>
    </w:p>
    <w:p w14:paraId="262A7F86">
      <w:r>
        <w:drawing>
          <wp:inline distT="0" distB="0" distL="0" distR="0">
            <wp:extent cx="18259425" cy="916305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18259425" cy="9163050"/>
                    </a:xfrm>
                    <a:prstGeom prst="rect">
                      <a:avLst/>
                    </a:prstGeom>
                  </pic:spPr>
                </pic:pic>
              </a:graphicData>
            </a:graphic>
          </wp:inline>
        </w:drawing>
      </w:r>
    </w:p>
    <w:p w14:paraId="33B2D3F0">
      <w:pPr>
        <w:pStyle w:val="18"/>
        <w:ind w:firstLine="562"/>
        <w:rPr>
          <w:rFonts w:ascii="仿宋" w:hAnsi="仿宋" w:eastAsia="仿宋" w:cs="仿宋"/>
          <w:b/>
          <w:bCs/>
          <w:color w:val="FF0000"/>
          <w:sz w:val="28"/>
          <w:szCs w:val="32"/>
        </w:rPr>
      </w:pPr>
      <w:r>
        <w:rPr>
          <w:rFonts w:hint="eastAsia" w:ascii="仿宋" w:hAnsi="仿宋" w:eastAsia="仿宋" w:cs="仿宋"/>
          <w:b/>
          <w:bCs/>
          <w:color w:val="FF0000"/>
          <w:sz w:val="28"/>
          <w:szCs w:val="32"/>
        </w:rPr>
        <w:t>演示要求：</w:t>
      </w:r>
    </w:p>
    <w:p w14:paraId="6E7971E2">
      <w:pPr>
        <w:pStyle w:val="18"/>
        <w:ind w:firstLine="560"/>
      </w:pPr>
      <w:r>
        <w:rPr>
          <w:rFonts w:hint="eastAsia" w:ascii="仿宋" w:hAnsi="仿宋" w:eastAsia="仿宋" w:cs="仿宋"/>
          <w:color w:val="FF0000"/>
          <w:sz w:val="28"/>
          <w:szCs w:val="32"/>
        </w:rPr>
        <w:t>此处的演示需要配合提醒管理进行演示，演示方案直接使用提醒管理的方案。</w:t>
      </w:r>
    </w:p>
    <w:p w14:paraId="4412CF35">
      <w:pPr>
        <w:spacing w:line="360" w:lineRule="auto"/>
      </w:pPr>
    </w:p>
    <w:p w14:paraId="4797146F">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基本参数维护</w:t>
      </w:r>
    </w:p>
    <w:p w14:paraId="47A102BC">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按照机构展示其辖区内的居民信息统计明细。</w:t>
      </w:r>
    </w:p>
    <w:p w14:paraId="7060FA6F">
      <w:r>
        <w:drawing>
          <wp:inline distT="0" distB="0" distL="0" distR="0">
            <wp:extent cx="18259425" cy="919162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18259425" cy="9191625"/>
                    </a:xfrm>
                    <a:prstGeom prst="rect">
                      <a:avLst/>
                    </a:prstGeom>
                  </pic:spPr>
                </pic:pic>
              </a:graphicData>
            </a:graphic>
          </wp:inline>
        </w:drawing>
      </w:r>
    </w:p>
    <w:p w14:paraId="09F7CA5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档案传输记录</w:t>
      </w:r>
    </w:p>
    <w:p w14:paraId="26482602">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按照机构展示其辖区内的居民信息统计明细。</w:t>
      </w:r>
    </w:p>
    <w:p w14:paraId="3692E630">
      <w:r>
        <w:drawing>
          <wp:inline distT="0" distB="0" distL="0" distR="0">
            <wp:extent cx="18240375" cy="80867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18240375" cy="8086725"/>
                    </a:xfrm>
                    <a:prstGeom prst="rect">
                      <a:avLst/>
                    </a:prstGeom>
                  </pic:spPr>
                </pic:pic>
              </a:graphicData>
            </a:graphic>
          </wp:inline>
        </w:drawing>
      </w:r>
    </w:p>
    <w:p w14:paraId="4B0D26D1">
      <w:r>
        <w:drawing>
          <wp:inline distT="0" distB="0" distL="0" distR="0">
            <wp:extent cx="18259425" cy="81153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18259425" cy="8115300"/>
                    </a:xfrm>
                    <a:prstGeom prst="rect">
                      <a:avLst/>
                    </a:prstGeom>
                  </pic:spPr>
                </pic:pic>
              </a:graphicData>
            </a:graphic>
          </wp:inline>
        </w:drawing>
      </w:r>
    </w:p>
    <w:p w14:paraId="7FEF7AF3"/>
    <w:p w14:paraId="4B39ABC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操作日志</w:t>
      </w:r>
    </w:p>
    <w:p w14:paraId="5C22966B">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按照机构展示其辖区内的居民信息统计明细。</w:t>
      </w:r>
    </w:p>
    <w:p w14:paraId="4E7A14C1">
      <w:r>
        <w:drawing>
          <wp:inline distT="0" distB="0" distL="0" distR="0">
            <wp:extent cx="18249900" cy="81057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tretch>
                      <a:fillRect/>
                    </a:stretch>
                  </pic:blipFill>
                  <pic:spPr>
                    <a:xfrm>
                      <a:off x="0" y="0"/>
                      <a:ext cx="18249900" cy="8105775"/>
                    </a:xfrm>
                    <a:prstGeom prst="rect">
                      <a:avLst/>
                    </a:prstGeom>
                  </pic:spPr>
                </pic:pic>
              </a:graphicData>
            </a:graphic>
          </wp:inline>
        </w:drawing>
      </w:r>
    </w:p>
    <w:p w14:paraId="6EECC481">
      <w:r>
        <w:drawing>
          <wp:inline distT="0" distB="0" distL="0" distR="0">
            <wp:extent cx="18249900" cy="81153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18249900" cy="8115300"/>
                    </a:xfrm>
                    <a:prstGeom prst="rect">
                      <a:avLst/>
                    </a:prstGeom>
                  </pic:spPr>
                </pic:pic>
              </a:graphicData>
            </a:graphic>
          </wp:inline>
        </w:drawing>
      </w:r>
    </w:p>
    <w:p w14:paraId="314D6800">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业务查询</w:t>
      </w:r>
    </w:p>
    <w:p w14:paraId="14D4FBB5">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个人档案查询</w:t>
      </w:r>
    </w:p>
    <w:p w14:paraId="0EA7981E">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对系统中建立个人档案的居民进行查询。</w:t>
      </w:r>
    </w:p>
    <w:p w14:paraId="49C91CE7">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死亡档案查询</w:t>
      </w:r>
    </w:p>
    <w:p w14:paraId="20CBAB1D">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对系统中建立死亡档案的居民进行查询。</w:t>
      </w:r>
    </w:p>
    <w:p w14:paraId="4366B511">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高血压患者查询</w:t>
      </w:r>
    </w:p>
    <w:p w14:paraId="44E061C1">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对系统中建立高血压档案的居民进行查询。</w:t>
      </w:r>
    </w:p>
    <w:p w14:paraId="563D1D46">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高血压随访查询</w:t>
      </w:r>
    </w:p>
    <w:p w14:paraId="18655AFD">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对系统中建立的高血压随访档案的居民档案进行查询。</w:t>
      </w:r>
    </w:p>
    <w:p w14:paraId="0198E6F1">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糖尿病患者查询</w:t>
      </w:r>
    </w:p>
    <w:p w14:paraId="21CC6F63">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对系统中建立的糖尿病档案的居民档案进行查询。</w:t>
      </w:r>
    </w:p>
    <w:p w14:paraId="61E05D3A">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糖尿病随访查询</w:t>
      </w:r>
    </w:p>
    <w:p w14:paraId="569C622C">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对系统中建立的糖尿病随访档案的居民档案进行查询。</w:t>
      </w:r>
    </w:p>
    <w:p w14:paraId="77656451">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严重精神障碍患者查询</w:t>
      </w:r>
    </w:p>
    <w:p w14:paraId="682A01D6">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对系统中建立的严重精神障碍档案的居民档案进行查询。</w:t>
      </w:r>
    </w:p>
    <w:p w14:paraId="07C67276">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严重精神障碍随访查询</w:t>
      </w:r>
    </w:p>
    <w:p w14:paraId="6ADCE484">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对系统中建立的严重精神障碍随访档案的居民档案进行查询。</w:t>
      </w:r>
    </w:p>
    <w:p w14:paraId="6321D63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肺结核患者查询</w:t>
      </w:r>
    </w:p>
    <w:p w14:paraId="317B5D61">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对系统中建立的肺结核档案的居民档案进行查询。</w:t>
      </w:r>
    </w:p>
    <w:p w14:paraId="24248C92">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肺结核随访查询</w:t>
      </w:r>
    </w:p>
    <w:p w14:paraId="5176D843">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对系统中建立的肺结核随访档案的居民档案进行查询。</w:t>
      </w:r>
    </w:p>
    <w:p w14:paraId="29318F89">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孕产妇查询</w:t>
      </w:r>
    </w:p>
    <w:p w14:paraId="33DEC411">
      <w:pPr>
        <w:widowControl/>
        <w:ind w:firstLine="560" w:firstLineChars="200"/>
        <w:jc w:val="left"/>
      </w:pPr>
      <w:r>
        <w:rPr>
          <w:rFonts w:hint="eastAsia" w:ascii="仿宋" w:hAnsi="仿宋" w:eastAsia="仿宋"/>
          <w:color w:val="000000" w:themeColor="text1"/>
          <w:sz w:val="28"/>
          <w:szCs w:val="24"/>
          <w14:textFill>
            <w14:solidFill>
              <w14:schemeClr w14:val="tx1"/>
            </w14:solidFill>
          </w14:textFill>
        </w:rPr>
        <w:t>对系统中建立的孕产妇档案的居民档案进行查询。</w:t>
      </w:r>
    </w:p>
    <w:p w14:paraId="57E33FAE">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老年人查询</w:t>
      </w:r>
    </w:p>
    <w:p w14:paraId="21DBE5DD">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对系统中建立个人档案的属于老年人的居民进行查询。</w:t>
      </w:r>
    </w:p>
    <w:p w14:paraId="215A3DAD">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业务统计</w:t>
      </w:r>
    </w:p>
    <w:p w14:paraId="2F3D38D6">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个人档案统计</w:t>
      </w:r>
    </w:p>
    <w:p w14:paraId="612DE281">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对系统中建立个人档案的居民进行统计。</w:t>
      </w:r>
    </w:p>
    <w:p w14:paraId="5ABA3BA3">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死亡档案统计</w:t>
      </w:r>
    </w:p>
    <w:p w14:paraId="63EC02FC">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对系统中建立死亡档案的居民进行统计。</w:t>
      </w:r>
    </w:p>
    <w:p w14:paraId="358ECA83">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高血压患者统计</w:t>
      </w:r>
    </w:p>
    <w:p w14:paraId="5BFD28F7">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对系统中建立高血压档案的居民进行统计。</w:t>
      </w:r>
    </w:p>
    <w:p w14:paraId="41FBC574">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高血压随访统计</w:t>
      </w:r>
    </w:p>
    <w:p w14:paraId="56ADD9DB">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对系统中建立的高血压随访档案的居民档案进行统计。</w:t>
      </w:r>
    </w:p>
    <w:p w14:paraId="72D2C004">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糖尿病患者统计</w:t>
      </w:r>
    </w:p>
    <w:p w14:paraId="09B44B8E">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对系统中建立的糖尿病档案的居民档案进行统计。</w:t>
      </w:r>
    </w:p>
    <w:p w14:paraId="1A1D413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糖尿病随访统计</w:t>
      </w:r>
    </w:p>
    <w:p w14:paraId="0959C15E">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对系统中建立的糖尿病随访档案的居民档案进行统计。</w:t>
      </w:r>
    </w:p>
    <w:p w14:paraId="6F5C3DF0">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严重精神障碍患者统计</w:t>
      </w:r>
    </w:p>
    <w:p w14:paraId="1E54E111">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对系统中建立的严重精神障碍档案的居民档案进行统计。</w:t>
      </w:r>
    </w:p>
    <w:p w14:paraId="40C1014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严重精神障碍随访统计</w:t>
      </w:r>
    </w:p>
    <w:p w14:paraId="22B7BCC5">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对系统中建立的严重精神障碍随访档案的居民档案进行统计。</w:t>
      </w:r>
    </w:p>
    <w:p w14:paraId="475B83AC">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肺结核患者统计</w:t>
      </w:r>
    </w:p>
    <w:p w14:paraId="6BBAD94D">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对系统中建立的肺结核档案的居民档案进行统计。</w:t>
      </w:r>
    </w:p>
    <w:p w14:paraId="1B0DAEA9">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肺结核随访统计</w:t>
      </w:r>
    </w:p>
    <w:p w14:paraId="53DAEBE3">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对系统中建立的肺结核随访档案的居民档案进行统计。</w:t>
      </w:r>
    </w:p>
    <w:p w14:paraId="2F262102">
      <w:pPr>
        <w:pStyle w:val="11"/>
        <w:keepNext/>
        <w:numPr>
          <w:ilvl w:val="1"/>
          <w:numId w:val="1"/>
        </w:numPr>
        <w:spacing w:before="240" w:line="360" w:lineRule="auto"/>
        <w:ind w:firstLineChars="0"/>
        <w:outlineLvl w:val="1"/>
        <w:rPr>
          <w:rFonts w:ascii="仿宋" w:hAnsi="仿宋" w:eastAsia="仿宋" w:cs="Arial"/>
          <w:b/>
          <w:color w:val="000000"/>
          <w:kern w:val="0"/>
          <w:sz w:val="32"/>
          <w:szCs w:val="32"/>
        </w:rPr>
      </w:pPr>
      <w:r>
        <w:rPr>
          <w:rFonts w:hint="eastAsia" w:ascii="仿宋" w:hAnsi="仿宋" w:eastAsia="仿宋" w:cs="Arial"/>
          <w:b/>
          <w:color w:val="000000"/>
          <w:kern w:val="0"/>
          <w:sz w:val="32"/>
          <w:szCs w:val="32"/>
        </w:rPr>
        <w:t>业务报表</w:t>
      </w:r>
    </w:p>
    <w:p w14:paraId="3897951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居民管理报表</w:t>
      </w:r>
    </w:p>
    <w:p w14:paraId="69FF8B06">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对辖区内的居民信息进行指标展示。</w:t>
      </w:r>
    </w:p>
    <w:p w14:paraId="2A40115D">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老年人管理报表</w:t>
      </w:r>
    </w:p>
    <w:p w14:paraId="5D6917D8">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对辖区内的老年人信息进行指标展示。</w:t>
      </w:r>
    </w:p>
    <w:p w14:paraId="76E6ED7B">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高血压管理报表</w:t>
      </w:r>
    </w:p>
    <w:p w14:paraId="4E82D119">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对辖区内的高血压信息进行指标展示。</w:t>
      </w:r>
    </w:p>
    <w:p w14:paraId="14317994">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糖尿病管理报表</w:t>
      </w:r>
    </w:p>
    <w:p w14:paraId="0793C93B">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对辖区内的糖尿病信息进行指标展示。</w:t>
      </w:r>
    </w:p>
    <w:p w14:paraId="4911D9D6">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精神障碍管理报表</w:t>
      </w:r>
    </w:p>
    <w:p w14:paraId="63CF0451">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对辖区内的精神障碍信息进行指标展示。</w:t>
      </w:r>
    </w:p>
    <w:p w14:paraId="07ADC16F">
      <w:pPr>
        <w:pStyle w:val="11"/>
        <w:keepNext/>
        <w:numPr>
          <w:ilvl w:val="2"/>
          <w:numId w:val="1"/>
        </w:numPr>
        <w:spacing w:before="240" w:line="360" w:lineRule="auto"/>
        <w:ind w:firstLineChars="0"/>
        <w:outlineLvl w:val="2"/>
        <w:rPr>
          <w:rFonts w:ascii="仿宋" w:hAnsi="仿宋" w:eastAsia="仿宋" w:cs="Arial"/>
          <w:b/>
          <w:color w:val="000000"/>
          <w:kern w:val="0"/>
          <w:sz w:val="28"/>
          <w:szCs w:val="28"/>
        </w:rPr>
      </w:pPr>
      <w:r>
        <w:rPr>
          <w:rFonts w:hint="eastAsia" w:ascii="仿宋" w:hAnsi="仿宋" w:eastAsia="仿宋" w:cs="Arial"/>
          <w:b/>
          <w:color w:val="000000"/>
          <w:kern w:val="0"/>
          <w:sz w:val="28"/>
          <w:szCs w:val="28"/>
        </w:rPr>
        <w:t>中医药管理报表</w:t>
      </w:r>
    </w:p>
    <w:p w14:paraId="6386E81E">
      <w:pPr>
        <w:widowControl/>
        <w:ind w:firstLine="560" w:firstLineChars="200"/>
        <w:jc w:val="left"/>
        <w:rPr>
          <w:rFonts w:ascii="仿宋" w:hAnsi="仿宋" w:eastAsia="仿宋"/>
          <w:color w:val="000000" w:themeColor="text1"/>
          <w:sz w:val="28"/>
          <w:szCs w:val="24"/>
          <w14:textFill>
            <w14:solidFill>
              <w14:schemeClr w14:val="tx1"/>
            </w14:solidFill>
          </w14:textFill>
        </w:rPr>
      </w:pPr>
      <w:r>
        <w:rPr>
          <w:rFonts w:hint="eastAsia" w:ascii="仿宋" w:hAnsi="仿宋" w:eastAsia="仿宋"/>
          <w:color w:val="000000" w:themeColor="text1"/>
          <w:sz w:val="28"/>
          <w:szCs w:val="24"/>
          <w14:textFill>
            <w14:solidFill>
              <w14:schemeClr w14:val="tx1"/>
            </w14:solidFill>
          </w14:textFill>
        </w:rPr>
        <w:t>对辖区内的中医药信息进行指标展示。</w:t>
      </w:r>
    </w:p>
    <w:p w14:paraId="0BC129F6">
      <w:pPr>
        <w:pStyle w:val="12"/>
        <w:keepNext/>
        <w:numPr>
          <w:ilvl w:val="0"/>
          <w:numId w:val="1"/>
        </w:numPr>
        <w:spacing w:line="360" w:lineRule="auto"/>
        <w:ind w:firstLineChars="0"/>
        <w:outlineLvl w:val="0"/>
        <w:rPr>
          <w:rFonts w:ascii="仿宋" w:hAnsi="仿宋" w:eastAsia="仿宋"/>
          <w:b/>
          <w:color w:val="000000" w:themeColor="text1"/>
          <w:sz w:val="32"/>
          <w:szCs w:val="32"/>
          <w14:textFill>
            <w14:solidFill>
              <w14:schemeClr w14:val="tx1"/>
            </w14:solidFill>
          </w14:textFill>
        </w:rPr>
      </w:pPr>
      <w:r>
        <w:rPr>
          <w:rFonts w:hint="eastAsia" w:ascii="仿宋" w:hAnsi="仿宋" w:eastAsia="仿宋"/>
          <w:b/>
          <w:color w:val="000000" w:themeColor="text1"/>
          <w:sz w:val="32"/>
          <w:szCs w:val="32"/>
          <w14:textFill>
            <w14:solidFill>
              <w14:schemeClr w14:val="tx1"/>
            </w14:solidFill>
          </w14:textFill>
        </w:rPr>
        <w:t>依赖清单</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2485"/>
        <w:gridCol w:w="1517"/>
        <w:gridCol w:w="967"/>
        <w:gridCol w:w="2532"/>
      </w:tblGrid>
      <w:tr w14:paraId="43F0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blHeader/>
          <w:jc w:val="center"/>
        </w:trPr>
        <w:tc>
          <w:tcPr>
            <w:tcW w:w="47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2BC5311">
            <w:pPr>
              <w:widowControl/>
              <w:jc w:val="center"/>
              <w:rPr>
                <w:rFonts w:ascii="仿宋" w:hAnsi="仿宋" w:eastAsia="仿宋" w:cs="仿宋"/>
                <w:b/>
                <w:bCs/>
                <w:szCs w:val="21"/>
                <w:lang w:eastAsia="zh-Hans"/>
              </w:rPr>
            </w:pPr>
            <w:r>
              <w:rPr>
                <w:rFonts w:hint="eastAsia" w:ascii="仿宋" w:hAnsi="仿宋" w:eastAsia="仿宋" w:cs="仿宋"/>
                <w:b/>
                <w:bCs/>
                <w:szCs w:val="21"/>
                <w:lang w:eastAsia="zh-Hans"/>
              </w:rPr>
              <w:t>序号</w:t>
            </w:r>
          </w:p>
        </w:tc>
        <w:tc>
          <w:tcPr>
            <w:tcW w:w="149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DCB6528">
            <w:pPr>
              <w:widowControl/>
              <w:jc w:val="center"/>
              <w:rPr>
                <w:rFonts w:ascii="仿宋" w:hAnsi="仿宋" w:eastAsia="仿宋" w:cs="仿宋"/>
                <w:b/>
                <w:bCs/>
                <w:szCs w:val="21"/>
                <w:lang w:eastAsia="zh-Hans"/>
              </w:rPr>
            </w:pPr>
            <w:r>
              <w:rPr>
                <w:rFonts w:hint="eastAsia" w:ascii="仿宋" w:hAnsi="仿宋" w:eastAsia="仿宋" w:cs="仿宋"/>
                <w:b/>
                <w:bCs/>
                <w:szCs w:val="21"/>
                <w:lang w:eastAsia="zh-Hans"/>
              </w:rPr>
              <w:t>依赖系统名称</w:t>
            </w:r>
          </w:p>
        </w:tc>
        <w:tc>
          <w:tcPr>
            <w:tcW w:w="91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EF468EE">
            <w:pPr>
              <w:widowControl/>
              <w:jc w:val="center"/>
              <w:rPr>
                <w:rFonts w:ascii="仿宋" w:hAnsi="仿宋" w:eastAsia="仿宋" w:cs="仿宋"/>
                <w:b/>
                <w:bCs/>
                <w:szCs w:val="21"/>
                <w:lang w:eastAsia="zh-Hans"/>
              </w:rPr>
            </w:pPr>
            <w:r>
              <w:rPr>
                <w:rFonts w:hint="eastAsia" w:ascii="仿宋" w:hAnsi="仿宋" w:eastAsia="仿宋" w:cs="仿宋"/>
                <w:b/>
                <w:bCs/>
                <w:szCs w:val="21"/>
                <w:lang w:eastAsia="zh-Hans"/>
              </w:rPr>
              <w:t>责任部门</w:t>
            </w:r>
          </w:p>
        </w:tc>
        <w:tc>
          <w:tcPr>
            <w:tcW w:w="58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16A4230">
            <w:pPr>
              <w:widowControl/>
              <w:jc w:val="center"/>
              <w:rPr>
                <w:rFonts w:ascii="仿宋" w:hAnsi="仿宋" w:eastAsia="仿宋" w:cs="仿宋"/>
                <w:b/>
                <w:bCs/>
                <w:szCs w:val="21"/>
                <w:lang w:eastAsia="zh-Hans"/>
              </w:rPr>
            </w:pPr>
            <w:r>
              <w:rPr>
                <w:rFonts w:hint="eastAsia" w:ascii="仿宋" w:hAnsi="仿宋" w:eastAsia="仿宋" w:cs="仿宋"/>
                <w:b/>
                <w:bCs/>
                <w:szCs w:val="21"/>
                <w:lang w:eastAsia="zh-Hans"/>
              </w:rPr>
              <w:t>负责人</w:t>
            </w:r>
          </w:p>
        </w:tc>
        <w:tc>
          <w:tcPr>
            <w:tcW w:w="152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479E91B">
            <w:pPr>
              <w:widowControl/>
              <w:spacing w:line="360" w:lineRule="auto"/>
              <w:jc w:val="center"/>
              <w:rPr>
                <w:rFonts w:ascii="仿宋" w:hAnsi="仿宋" w:eastAsia="仿宋" w:cs="仿宋"/>
                <w:b/>
                <w:bCs/>
                <w:szCs w:val="21"/>
                <w:lang w:eastAsia="zh-Hans"/>
              </w:rPr>
            </w:pPr>
            <w:r>
              <w:rPr>
                <w:rFonts w:hint="eastAsia" w:ascii="仿宋" w:hAnsi="仿宋" w:eastAsia="仿宋" w:cs="仿宋"/>
                <w:b/>
                <w:bCs/>
                <w:szCs w:val="21"/>
                <w:lang w:eastAsia="zh-Hans"/>
              </w:rPr>
              <w:t>依赖内容简要说明</w:t>
            </w:r>
          </w:p>
        </w:tc>
      </w:tr>
      <w:tr w14:paraId="130D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79" w:type="pct"/>
            <w:tcBorders>
              <w:top w:val="single" w:color="auto" w:sz="4" w:space="0"/>
              <w:left w:val="single" w:color="auto" w:sz="4" w:space="0"/>
              <w:bottom w:val="single" w:color="auto" w:sz="4" w:space="0"/>
              <w:right w:val="single" w:color="auto" w:sz="4" w:space="0"/>
            </w:tcBorders>
            <w:vAlign w:val="center"/>
          </w:tcPr>
          <w:p w14:paraId="7B1595BA">
            <w:pPr>
              <w:widowControl/>
              <w:jc w:val="center"/>
              <w:rPr>
                <w:rFonts w:ascii="仿宋" w:hAnsi="仿宋" w:eastAsia="仿宋" w:cs="仿宋"/>
                <w:kern w:val="0"/>
                <w:szCs w:val="21"/>
              </w:rPr>
            </w:pPr>
            <w:r>
              <w:rPr>
                <w:rFonts w:hint="eastAsia" w:ascii="仿宋" w:hAnsi="仿宋" w:eastAsia="仿宋" w:cs="仿宋"/>
                <w:kern w:val="0"/>
                <w:szCs w:val="21"/>
              </w:rPr>
              <w:t>1</w:t>
            </w:r>
          </w:p>
        </w:tc>
        <w:tc>
          <w:tcPr>
            <w:tcW w:w="1498" w:type="pct"/>
            <w:tcBorders>
              <w:top w:val="single" w:color="auto" w:sz="4" w:space="0"/>
              <w:left w:val="single" w:color="auto" w:sz="4" w:space="0"/>
              <w:bottom w:val="single" w:color="auto" w:sz="4" w:space="0"/>
              <w:right w:val="single" w:color="auto" w:sz="4" w:space="0"/>
            </w:tcBorders>
            <w:vAlign w:val="center"/>
          </w:tcPr>
          <w:p w14:paraId="061E01C0">
            <w:pPr>
              <w:widowControl/>
              <w:jc w:val="center"/>
              <w:rPr>
                <w:rFonts w:ascii="仿宋" w:hAnsi="仿宋" w:eastAsia="仿宋" w:cs="仿宋"/>
                <w:kern w:val="0"/>
                <w:szCs w:val="21"/>
              </w:rPr>
            </w:pPr>
            <w:r>
              <w:rPr>
                <w:rFonts w:hint="eastAsia" w:ascii="仿宋" w:hAnsi="仿宋" w:eastAsia="仿宋" w:cs="仿宋"/>
                <w:kern w:val="0"/>
                <w:szCs w:val="21"/>
              </w:rPr>
              <w:t>综合运维 V3.0.10-alpha.</w:t>
            </w:r>
            <w:r>
              <w:rPr>
                <w:rFonts w:ascii="仿宋" w:hAnsi="仿宋" w:eastAsia="仿宋" w:cs="仿宋"/>
                <w:kern w:val="0"/>
                <w:szCs w:val="21"/>
              </w:rPr>
              <w:t>1</w:t>
            </w:r>
          </w:p>
        </w:tc>
        <w:tc>
          <w:tcPr>
            <w:tcW w:w="914" w:type="pct"/>
            <w:tcBorders>
              <w:top w:val="single" w:color="auto" w:sz="4" w:space="0"/>
              <w:left w:val="single" w:color="auto" w:sz="4" w:space="0"/>
              <w:bottom w:val="single" w:color="auto" w:sz="4" w:space="0"/>
              <w:right w:val="single" w:color="auto" w:sz="4" w:space="0"/>
            </w:tcBorders>
            <w:vAlign w:val="center"/>
          </w:tcPr>
          <w:p w14:paraId="4835DBEC">
            <w:pPr>
              <w:widowControl/>
              <w:jc w:val="center"/>
              <w:rPr>
                <w:rFonts w:ascii="仿宋" w:hAnsi="仿宋" w:eastAsia="仿宋" w:cs="仿宋"/>
                <w:kern w:val="0"/>
                <w:szCs w:val="21"/>
              </w:rPr>
            </w:pPr>
            <w:r>
              <w:rPr>
                <w:rFonts w:hint="eastAsia" w:ascii="仿宋" w:hAnsi="仿宋" w:eastAsia="仿宋" w:cs="仿宋"/>
                <w:kern w:val="0"/>
                <w:szCs w:val="21"/>
              </w:rPr>
              <w:t>技术中心</w:t>
            </w:r>
          </w:p>
        </w:tc>
        <w:tc>
          <w:tcPr>
            <w:tcW w:w="583" w:type="pct"/>
            <w:tcBorders>
              <w:top w:val="single" w:color="auto" w:sz="4" w:space="0"/>
              <w:left w:val="single" w:color="auto" w:sz="4" w:space="0"/>
              <w:bottom w:val="single" w:color="auto" w:sz="4" w:space="0"/>
              <w:right w:val="single" w:color="auto" w:sz="4" w:space="0"/>
            </w:tcBorders>
            <w:vAlign w:val="center"/>
          </w:tcPr>
          <w:p w14:paraId="5542B6EA">
            <w:pPr>
              <w:widowControl/>
              <w:jc w:val="left"/>
              <w:rPr>
                <w:rFonts w:ascii="仿宋" w:hAnsi="仿宋" w:eastAsia="仿宋" w:cs="仿宋"/>
                <w:kern w:val="0"/>
                <w:szCs w:val="21"/>
              </w:rPr>
            </w:pPr>
            <w:r>
              <w:rPr>
                <w:rFonts w:hint="eastAsia" w:ascii="仿宋" w:hAnsi="仿宋" w:eastAsia="仿宋" w:cs="仿宋"/>
                <w:kern w:val="0"/>
                <w:szCs w:val="21"/>
              </w:rPr>
              <w:t>魏子均</w:t>
            </w:r>
          </w:p>
        </w:tc>
        <w:tc>
          <w:tcPr>
            <w:tcW w:w="1526" w:type="pct"/>
            <w:tcBorders>
              <w:top w:val="single" w:color="auto" w:sz="4" w:space="0"/>
              <w:left w:val="single" w:color="auto" w:sz="4" w:space="0"/>
              <w:bottom w:val="single" w:color="auto" w:sz="4" w:space="0"/>
              <w:right w:val="single" w:color="auto" w:sz="4" w:space="0"/>
            </w:tcBorders>
            <w:vAlign w:val="center"/>
          </w:tcPr>
          <w:p w14:paraId="7B70021A">
            <w:pPr>
              <w:widowControl/>
              <w:jc w:val="left"/>
              <w:rPr>
                <w:rFonts w:ascii="仿宋" w:hAnsi="仿宋" w:eastAsia="仿宋" w:cs="仿宋"/>
                <w:kern w:val="0"/>
                <w:szCs w:val="21"/>
              </w:rPr>
            </w:pPr>
            <w:r>
              <w:rPr>
                <w:rFonts w:hint="eastAsia" w:ascii="仿宋" w:hAnsi="仿宋" w:eastAsia="仿宋" w:cs="仿宋"/>
                <w:kern w:val="0"/>
                <w:szCs w:val="21"/>
              </w:rPr>
              <w:t>基础系统</w:t>
            </w:r>
          </w:p>
        </w:tc>
      </w:tr>
      <w:tr w14:paraId="62A8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79" w:type="pct"/>
            <w:tcBorders>
              <w:top w:val="single" w:color="auto" w:sz="4" w:space="0"/>
              <w:left w:val="single" w:color="auto" w:sz="4" w:space="0"/>
              <w:bottom w:val="single" w:color="auto" w:sz="4" w:space="0"/>
              <w:right w:val="single" w:color="auto" w:sz="4" w:space="0"/>
            </w:tcBorders>
            <w:vAlign w:val="center"/>
          </w:tcPr>
          <w:p w14:paraId="6D1D8DD2">
            <w:pPr>
              <w:widowControl/>
              <w:jc w:val="center"/>
              <w:rPr>
                <w:rFonts w:ascii="仿宋" w:hAnsi="仿宋" w:eastAsia="仿宋" w:cs="仿宋"/>
                <w:kern w:val="0"/>
                <w:szCs w:val="21"/>
              </w:rPr>
            </w:pPr>
            <w:r>
              <w:rPr>
                <w:rFonts w:hint="eastAsia" w:ascii="仿宋" w:hAnsi="仿宋" w:eastAsia="仿宋" w:cs="仿宋"/>
                <w:kern w:val="0"/>
                <w:szCs w:val="21"/>
              </w:rPr>
              <w:t>2</w:t>
            </w:r>
          </w:p>
        </w:tc>
        <w:tc>
          <w:tcPr>
            <w:tcW w:w="1498" w:type="pct"/>
            <w:tcBorders>
              <w:top w:val="single" w:color="auto" w:sz="4" w:space="0"/>
              <w:left w:val="single" w:color="auto" w:sz="4" w:space="0"/>
              <w:bottom w:val="single" w:color="auto" w:sz="4" w:space="0"/>
              <w:right w:val="single" w:color="auto" w:sz="4" w:space="0"/>
            </w:tcBorders>
            <w:vAlign w:val="center"/>
          </w:tcPr>
          <w:p w14:paraId="21D698D8">
            <w:pPr>
              <w:widowControl/>
              <w:jc w:val="center"/>
              <w:rPr>
                <w:rFonts w:ascii="仿宋" w:hAnsi="仿宋" w:eastAsia="仿宋" w:cs="仿宋"/>
                <w:kern w:val="0"/>
                <w:szCs w:val="21"/>
              </w:rPr>
            </w:pPr>
            <w:r>
              <w:rPr>
                <w:rFonts w:hint="eastAsia" w:ascii="仿宋" w:hAnsi="仿宋" w:eastAsia="仿宋" w:cs="仿宋"/>
                <w:kern w:val="0"/>
                <w:szCs w:val="21"/>
              </w:rPr>
              <w:t>注册中心V2.</w:t>
            </w:r>
            <w:r>
              <w:rPr>
                <w:rFonts w:ascii="仿宋" w:hAnsi="仿宋" w:eastAsia="仿宋" w:cs="仿宋"/>
                <w:kern w:val="0"/>
                <w:szCs w:val="21"/>
              </w:rPr>
              <w:t>1.1</w:t>
            </w:r>
          </w:p>
        </w:tc>
        <w:tc>
          <w:tcPr>
            <w:tcW w:w="914" w:type="pct"/>
            <w:tcBorders>
              <w:top w:val="single" w:color="auto" w:sz="4" w:space="0"/>
              <w:left w:val="single" w:color="auto" w:sz="4" w:space="0"/>
              <w:bottom w:val="single" w:color="auto" w:sz="4" w:space="0"/>
              <w:right w:val="single" w:color="auto" w:sz="4" w:space="0"/>
            </w:tcBorders>
            <w:vAlign w:val="center"/>
          </w:tcPr>
          <w:p w14:paraId="40B24B25">
            <w:pPr>
              <w:widowControl/>
              <w:jc w:val="center"/>
              <w:rPr>
                <w:rFonts w:ascii="仿宋" w:hAnsi="仿宋" w:eastAsia="仿宋" w:cs="仿宋"/>
                <w:kern w:val="0"/>
                <w:szCs w:val="21"/>
              </w:rPr>
            </w:pPr>
            <w:r>
              <w:rPr>
                <w:rFonts w:hint="eastAsia" w:ascii="仿宋" w:hAnsi="仿宋" w:eastAsia="仿宋" w:cs="仿宋"/>
                <w:kern w:val="0"/>
                <w:szCs w:val="21"/>
              </w:rPr>
              <w:t>技术中心</w:t>
            </w:r>
          </w:p>
        </w:tc>
        <w:tc>
          <w:tcPr>
            <w:tcW w:w="583" w:type="pct"/>
            <w:tcBorders>
              <w:top w:val="single" w:color="auto" w:sz="4" w:space="0"/>
              <w:left w:val="single" w:color="auto" w:sz="4" w:space="0"/>
              <w:bottom w:val="single" w:color="auto" w:sz="4" w:space="0"/>
              <w:right w:val="single" w:color="auto" w:sz="4" w:space="0"/>
            </w:tcBorders>
            <w:vAlign w:val="center"/>
          </w:tcPr>
          <w:p w14:paraId="12F99885">
            <w:pPr>
              <w:widowControl/>
              <w:jc w:val="left"/>
              <w:rPr>
                <w:rFonts w:ascii="仿宋" w:hAnsi="仿宋" w:eastAsia="仿宋" w:cs="仿宋"/>
                <w:kern w:val="0"/>
                <w:szCs w:val="21"/>
              </w:rPr>
            </w:pPr>
            <w:r>
              <w:rPr>
                <w:rFonts w:hint="eastAsia" w:ascii="仿宋" w:hAnsi="仿宋" w:eastAsia="仿宋" w:cs="仿宋"/>
                <w:kern w:val="0"/>
                <w:szCs w:val="21"/>
              </w:rPr>
              <w:t>魏子均</w:t>
            </w:r>
          </w:p>
        </w:tc>
        <w:tc>
          <w:tcPr>
            <w:tcW w:w="1526" w:type="pct"/>
            <w:tcBorders>
              <w:top w:val="single" w:color="auto" w:sz="4" w:space="0"/>
              <w:left w:val="single" w:color="auto" w:sz="4" w:space="0"/>
              <w:bottom w:val="single" w:color="auto" w:sz="4" w:space="0"/>
              <w:right w:val="single" w:color="auto" w:sz="4" w:space="0"/>
            </w:tcBorders>
            <w:vAlign w:val="center"/>
          </w:tcPr>
          <w:p w14:paraId="0C5CE423">
            <w:pPr>
              <w:widowControl/>
              <w:jc w:val="left"/>
              <w:rPr>
                <w:rFonts w:ascii="仿宋" w:hAnsi="仿宋" w:eastAsia="仿宋" w:cs="仿宋"/>
                <w:kern w:val="0"/>
                <w:szCs w:val="21"/>
              </w:rPr>
            </w:pPr>
            <w:r>
              <w:rPr>
                <w:rFonts w:hint="eastAsia" w:ascii="仿宋" w:hAnsi="仿宋" w:eastAsia="仿宋" w:cs="仿宋"/>
                <w:kern w:val="0"/>
                <w:szCs w:val="21"/>
              </w:rPr>
              <w:t>基础系统</w:t>
            </w:r>
          </w:p>
        </w:tc>
      </w:tr>
      <w:tr w14:paraId="4823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79" w:type="pct"/>
            <w:tcBorders>
              <w:top w:val="single" w:color="auto" w:sz="4" w:space="0"/>
              <w:left w:val="single" w:color="auto" w:sz="4" w:space="0"/>
              <w:bottom w:val="single" w:color="auto" w:sz="4" w:space="0"/>
              <w:right w:val="single" w:color="auto" w:sz="4" w:space="0"/>
            </w:tcBorders>
            <w:vAlign w:val="center"/>
          </w:tcPr>
          <w:p w14:paraId="614DA92D">
            <w:pPr>
              <w:widowControl/>
              <w:jc w:val="center"/>
              <w:rPr>
                <w:rFonts w:ascii="仿宋" w:hAnsi="仿宋" w:eastAsia="仿宋" w:cs="仿宋"/>
                <w:kern w:val="0"/>
                <w:szCs w:val="21"/>
              </w:rPr>
            </w:pPr>
            <w:r>
              <w:rPr>
                <w:rFonts w:hint="eastAsia" w:ascii="仿宋" w:hAnsi="仿宋" w:eastAsia="仿宋" w:cs="仿宋"/>
                <w:kern w:val="0"/>
                <w:szCs w:val="21"/>
              </w:rPr>
              <w:t>3</w:t>
            </w:r>
          </w:p>
        </w:tc>
        <w:tc>
          <w:tcPr>
            <w:tcW w:w="1498" w:type="pct"/>
            <w:tcBorders>
              <w:top w:val="single" w:color="auto" w:sz="4" w:space="0"/>
              <w:left w:val="single" w:color="auto" w:sz="4" w:space="0"/>
              <w:bottom w:val="single" w:color="auto" w:sz="4" w:space="0"/>
              <w:right w:val="single" w:color="auto" w:sz="4" w:space="0"/>
            </w:tcBorders>
            <w:vAlign w:val="center"/>
          </w:tcPr>
          <w:p w14:paraId="7B5FFDC8">
            <w:pPr>
              <w:widowControl/>
              <w:jc w:val="center"/>
              <w:rPr>
                <w:rFonts w:ascii="仿宋" w:hAnsi="仿宋" w:eastAsia="仿宋" w:cs="仿宋"/>
                <w:kern w:val="0"/>
                <w:szCs w:val="21"/>
              </w:rPr>
            </w:pPr>
            <w:r>
              <w:rPr>
                <w:rFonts w:hint="eastAsia" w:ascii="仿宋" w:hAnsi="仿宋" w:eastAsia="仿宋" w:cs="仿宋"/>
                <w:kern w:val="0"/>
                <w:szCs w:val="21"/>
              </w:rPr>
              <w:t>网关 V1.</w:t>
            </w:r>
            <w:r>
              <w:rPr>
                <w:rFonts w:ascii="仿宋" w:hAnsi="仿宋" w:eastAsia="仿宋" w:cs="仿宋"/>
                <w:kern w:val="0"/>
                <w:szCs w:val="21"/>
              </w:rPr>
              <w:t>6</w:t>
            </w:r>
            <w:r>
              <w:rPr>
                <w:rFonts w:hint="eastAsia" w:ascii="仿宋" w:hAnsi="仿宋" w:eastAsia="仿宋" w:cs="仿宋"/>
                <w:kern w:val="0"/>
                <w:szCs w:val="21"/>
              </w:rPr>
              <w:t>.</w:t>
            </w:r>
            <w:r>
              <w:rPr>
                <w:rFonts w:ascii="仿宋" w:hAnsi="仿宋" w:eastAsia="仿宋" w:cs="仿宋"/>
                <w:kern w:val="0"/>
                <w:szCs w:val="21"/>
              </w:rPr>
              <w:t>1-alpha.2</w:t>
            </w:r>
          </w:p>
        </w:tc>
        <w:tc>
          <w:tcPr>
            <w:tcW w:w="914" w:type="pct"/>
            <w:tcBorders>
              <w:top w:val="single" w:color="auto" w:sz="4" w:space="0"/>
              <w:left w:val="single" w:color="auto" w:sz="4" w:space="0"/>
              <w:bottom w:val="single" w:color="auto" w:sz="4" w:space="0"/>
              <w:right w:val="single" w:color="auto" w:sz="4" w:space="0"/>
            </w:tcBorders>
            <w:vAlign w:val="center"/>
          </w:tcPr>
          <w:p w14:paraId="2C97EB14">
            <w:pPr>
              <w:widowControl/>
              <w:jc w:val="center"/>
              <w:rPr>
                <w:rFonts w:ascii="仿宋" w:hAnsi="仿宋" w:eastAsia="仿宋" w:cs="仿宋"/>
                <w:kern w:val="0"/>
                <w:szCs w:val="21"/>
              </w:rPr>
            </w:pPr>
            <w:r>
              <w:rPr>
                <w:rFonts w:hint="eastAsia" w:ascii="仿宋" w:hAnsi="仿宋" w:eastAsia="仿宋" w:cs="仿宋"/>
                <w:kern w:val="0"/>
                <w:szCs w:val="21"/>
              </w:rPr>
              <w:t>技术中心</w:t>
            </w:r>
          </w:p>
        </w:tc>
        <w:tc>
          <w:tcPr>
            <w:tcW w:w="583" w:type="pct"/>
            <w:tcBorders>
              <w:top w:val="single" w:color="auto" w:sz="4" w:space="0"/>
              <w:left w:val="single" w:color="auto" w:sz="4" w:space="0"/>
              <w:bottom w:val="single" w:color="auto" w:sz="4" w:space="0"/>
              <w:right w:val="single" w:color="auto" w:sz="4" w:space="0"/>
            </w:tcBorders>
            <w:vAlign w:val="center"/>
          </w:tcPr>
          <w:p w14:paraId="5B2216D6">
            <w:pPr>
              <w:widowControl/>
              <w:jc w:val="left"/>
              <w:rPr>
                <w:rFonts w:ascii="仿宋" w:hAnsi="仿宋" w:eastAsia="仿宋" w:cs="仿宋"/>
                <w:kern w:val="0"/>
                <w:szCs w:val="21"/>
              </w:rPr>
            </w:pPr>
            <w:r>
              <w:rPr>
                <w:rFonts w:hint="eastAsia" w:ascii="仿宋" w:hAnsi="仿宋" w:eastAsia="仿宋" w:cs="仿宋"/>
                <w:kern w:val="0"/>
                <w:szCs w:val="21"/>
              </w:rPr>
              <w:t>杨晓东</w:t>
            </w:r>
          </w:p>
        </w:tc>
        <w:tc>
          <w:tcPr>
            <w:tcW w:w="1526" w:type="pct"/>
            <w:tcBorders>
              <w:top w:val="single" w:color="auto" w:sz="4" w:space="0"/>
              <w:left w:val="single" w:color="auto" w:sz="4" w:space="0"/>
              <w:bottom w:val="single" w:color="auto" w:sz="4" w:space="0"/>
              <w:right w:val="single" w:color="auto" w:sz="4" w:space="0"/>
            </w:tcBorders>
            <w:vAlign w:val="center"/>
          </w:tcPr>
          <w:p w14:paraId="45D2EEE7">
            <w:pPr>
              <w:widowControl/>
              <w:jc w:val="left"/>
              <w:rPr>
                <w:rFonts w:ascii="仿宋" w:hAnsi="仿宋" w:eastAsia="仿宋" w:cs="仿宋"/>
                <w:kern w:val="0"/>
                <w:szCs w:val="21"/>
              </w:rPr>
            </w:pPr>
            <w:r>
              <w:rPr>
                <w:rFonts w:hint="eastAsia" w:ascii="仿宋" w:hAnsi="仿宋" w:eastAsia="仿宋" w:cs="仿宋"/>
                <w:kern w:val="0"/>
                <w:szCs w:val="21"/>
              </w:rPr>
              <w:t>基础系统</w:t>
            </w:r>
          </w:p>
        </w:tc>
      </w:tr>
      <w:tr w14:paraId="232B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79" w:type="pct"/>
            <w:tcBorders>
              <w:top w:val="single" w:color="auto" w:sz="4" w:space="0"/>
              <w:left w:val="single" w:color="auto" w:sz="4" w:space="0"/>
              <w:bottom w:val="single" w:color="auto" w:sz="4" w:space="0"/>
              <w:right w:val="single" w:color="auto" w:sz="4" w:space="0"/>
            </w:tcBorders>
            <w:vAlign w:val="center"/>
          </w:tcPr>
          <w:p w14:paraId="2393521A">
            <w:pPr>
              <w:widowControl/>
              <w:jc w:val="center"/>
              <w:rPr>
                <w:rFonts w:ascii="仿宋" w:hAnsi="仿宋" w:eastAsia="仿宋" w:cs="仿宋"/>
                <w:kern w:val="0"/>
                <w:szCs w:val="21"/>
              </w:rPr>
            </w:pPr>
            <w:r>
              <w:rPr>
                <w:rFonts w:hint="eastAsia" w:ascii="仿宋" w:hAnsi="仿宋" w:eastAsia="仿宋" w:cs="仿宋"/>
                <w:kern w:val="0"/>
                <w:szCs w:val="21"/>
              </w:rPr>
              <w:t>4</w:t>
            </w:r>
          </w:p>
        </w:tc>
        <w:tc>
          <w:tcPr>
            <w:tcW w:w="1498" w:type="pct"/>
            <w:tcBorders>
              <w:top w:val="single" w:color="auto" w:sz="4" w:space="0"/>
              <w:left w:val="single" w:color="auto" w:sz="4" w:space="0"/>
              <w:bottom w:val="single" w:color="auto" w:sz="4" w:space="0"/>
              <w:right w:val="single" w:color="auto" w:sz="4" w:space="0"/>
            </w:tcBorders>
            <w:vAlign w:val="center"/>
          </w:tcPr>
          <w:p w14:paraId="65C171E8">
            <w:pPr>
              <w:widowControl/>
              <w:jc w:val="center"/>
              <w:rPr>
                <w:rFonts w:ascii="仿宋" w:hAnsi="仿宋" w:eastAsia="仿宋" w:cs="仿宋"/>
                <w:kern w:val="0"/>
                <w:szCs w:val="21"/>
              </w:rPr>
            </w:pPr>
            <w:r>
              <w:rPr>
                <w:rFonts w:hint="eastAsia" w:ascii="仿宋" w:hAnsi="仿宋" w:eastAsia="仿宋" w:cs="仿宋"/>
                <w:kern w:val="0"/>
                <w:szCs w:val="21"/>
              </w:rPr>
              <w:t>主数据&amp;主索引V2.0.0</w:t>
            </w:r>
            <w:r>
              <w:rPr>
                <w:rFonts w:ascii="仿宋" w:hAnsi="仿宋" w:eastAsia="仿宋" w:cs="仿宋"/>
                <w:kern w:val="0"/>
                <w:szCs w:val="21"/>
              </w:rPr>
              <w:t>-</w:t>
            </w:r>
            <w:r>
              <w:rPr>
                <w:rFonts w:hint="eastAsia" w:ascii="仿宋" w:hAnsi="仿宋" w:eastAsia="仿宋" w:cs="仿宋"/>
                <w:kern w:val="0"/>
                <w:szCs w:val="21"/>
              </w:rPr>
              <w:t>alpha</w:t>
            </w:r>
            <w:r>
              <w:rPr>
                <w:rFonts w:ascii="仿宋" w:hAnsi="仿宋" w:eastAsia="仿宋" w:cs="仿宋"/>
                <w:kern w:val="0"/>
                <w:szCs w:val="21"/>
              </w:rPr>
              <w:t>6</w:t>
            </w:r>
          </w:p>
        </w:tc>
        <w:tc>
          <w:tcPr>
            <w:tcW w:w="914" w:type="pct"/>
            <w:tcBorders>
              <w:top w:val="single" w:color="auto" w:sz="4" w:space="0"/>
              <w:left w:val="single" w:color="auto" w:sz="4" w:space="0"/>
              <w:bottom w:val="single" w:color="auto" w:sz="4" w:space="0"/>
              <w:right w:val="single" w:color="auto" w:sz="4" w:space="0"/>
            </w:tcBorders>
            <w:vAlign w:val="center"/>
          </w:tcPr>
          <w:p w14:paraId="493BAF8A">
            <w:pPr>
              <w:widowControl/>
              <w:jc w:val="center"/>
              <w:rPr>
                <w:rFonts w:ascii="仿宋" w:hAnsi="仿宋" w:eastAsia="仿宋" w:cs="仿宋"/>
                <w:kern w:val="0"/>
                <w:szCs w:val="21"/>
              </w:rPr>
            </w:pPr>
            <w:r>
              <w:rPr>
                <w:rFonts w:hint="eastAsia" w:ascii="仿宋" w:hAnsi="仿宋" w:eastAsia="仿宋" w:cs="仿宋"/>
                <w:kern w:val="0"/>
                <w:szCs w:val="21"/>
              </w:rPr>
              <w:t>集成平台</w:t>
            </w:r>
          </w:p>
        </w:tc>
        <w:tc>
          <w:tcPr>
            <w:tcW w:w="583" w:type="pct"/>
            <w:tcBorders>
              <w:top w:val="single" w:color="auto" w:sz="4" w:space="0"/>
              <w:left w:val="single" w:color="auto" w:sz="4" w:space="0"/>
              <w:bottom w:val="single" w:color="auto" w:sz="4" w:space="0"/>
              <w:right w:val="single" w:color="auto" w:sz="4" w:space="0"/>
            </w:tcBorders>
            <w:vAlign w:val="center"/>
          </w:tcPr>
          <w:p w14:paraId="11CA2E4E">
            <w:pPr>
              <w:widowControl/>
              <w:jc w:val="left"/>
              <w:rPr>
                <w:rFonts w:ascii="仿宋" w:hAnsi="仿宋" w:eastAsia="仿宋" w:cs="仿宋"/>
                <w:kern w:val="0"/>
                <w:szCs w:val="21"/>
              </w:rPr>
            </w:pPr>
            <w:r>
              <w:rPr>
                <w:rFonts w:hint="eastAsia" w:ascii="仿宋" w:hAnsi="仿宋" w:eastAsia="仿宋" w:cs="仿宋"/>
                <w:kern w:val="0"/>
                <w:szCs w:val="21"/>
              </w:rPr>
              <w:t>黄攀</w:t>
            </w:r>
          </w:p>
        </w:tc>
        <w:tc>
          <w:tcPr>
            <w:tcW w:w="1526" w:type="pct"/>
            <w:tcBorders>
              <w:top w:val="single" w:color="auto" w:sz="4" w:space="0"/>
              <w:left w:val="single" w:color="auto" w:sz="4" w:space="0"/>
              <w:bottom w:val="single" w:color="auto" w:sz="4" w:space="0"/>
              <w:right w:val="single" w:color="auto" w:sz="4" w:space="0"/>
            </w:tcBorders>
            <w:vAlign w:val="center"/>
          </w:tcPr>
          <w:p w14:paraId="145F32C4">
            <w:pPr>
              <w:widowControl/>
              <w:jc w:val="left"/>
              <w:rPr>
                <w:rFonts w:ascii="仿宋" w:hAnsi="仿宋" w:eastAsia="仿宋" w:cs="仿宋"/>
                <w:kern w:val="0"/>
                <w:szCs w:val="21"/>
              </w:rPr>
            </w:pPr>
            <w:r>
              <w:rPr>
                <w:rFonts w:hint="eastAsia" w:ascii="仿宋" w:hAnsi="仿宋" w:eastAsia="仿宋" w:cs="仿宋"/>
                <w:kern w:val="0"/>
                <w:szCs w:val="21"/>
              </w:rPr>
              <w:t>依赖系统</w:t>
            </w:r>
          </w:p>
        </w:tc>
      </w:tr>
      <w:tr w14:paraId="6498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79" w:type="pct"/>
            <w:tcBorders>
              <w:top w:val="single" w:color="auto" w:sz="4" w:space="0"/>
              <w:left w:val="single" w:color="auto" w:sz="4" w:space="0"/>
              <w:bottom w:val="single" w:color="auto" w:sz="4" w:space="0"/>
              <w:right w:val="single" w:color="auto" w:sz="4" w:space="0"/>
            </w:tcBorders>
            <w:vAlign w:val="center"/>
          </w:tcPr>
          <w:p w14:paraId="3A186ADD">
            <w:pPr>
              <w:widowControl/>
              <w:jc w:val="center"/>
              <w:rPr>
                <w:rFonts w:ascii="仿宋" w:hAnsi="仿宋" w:eastAsia="仿宋" w:cs="仿宋"/>
                <w:kern w:val="0"/>
                <w:szCs w:val="21"/>
              </w:rPr>
            </w:pPr>
            <w:r>
              <w:rPr>
                <w:rFonts w:hint="eastAsia" w:ascii="仿宋" w:hAnsi="仿宋" w:eastAsia="仿宋" w:cs="仿宋"/>
                <w:kern w:val="0"/>
                <w:szCs w:val="21"/>
              </w:rPr>
              <w:t>5</w:t>
            </w:r>
          </w:p>
        </w:tc>
        <w:tc>
          <w:tcPr>
            <w:tcW w:w="1498" w:type="pct"/>
            <w:tcBorders>
              <w:top w:val="single" w:color="auto" w:sz="4" w:space="0"/>
              <w:left w:val="single" w:color="auto" w:sz="4" w:space="0"/>
              <w:bottom w:val="single" w:color="auto" w:sz="4" w:space="0"/>
              <w:right w:val="single" w:color="auto" w:sz="4" w:space="0"/>
            </w:tcBorders>
            <w:vAlign w:val="center"/>
          </w:tcPr>
          <w:p w14:paraId="55C86AEA">
            <w:pPr>
              <w:widowControl/>
              <w:jc w:val="center"/>
              <w:rPr>
                <w:rFonts w:ascii="仿宋" w:hAnsi="仿宋" w:eastAsia="仿宋" w:cs="仿宋"/>
                <w:kern w:val="0"/>
                <w:szCs w:val="21"/>
              </w:rPr>
            </w:pPr>
            <w:r>
              <w:rPr>
                <w:rFonts w:hint="eastAsia" w:ascii="仿宋" w:hAnsi="仿宋" w:eastAsia="仿宋" w:cs="仿宋"/>
                <w:kern w:val="0"/>
                <w:szCs w:val="21"/>
              </w:rPr>
              <w:t xml:space="preserve">任务调度中心 </w:t>
            </w:r>
            <w:r>
              <w:rPr>
                <w:rFonts w:ascii="仿宋" w:hAnsi="仿宋" w:eastAsia="仿宋" w:cs="仿宋"/>
                <w:kern w:val="0"/>
                <w:szCs w:val="21"/>
              </w:rPr>
              <w:t>V1.2.7</w:t>
            </w:r>
          </w:p>
        </w:tc>
        <w:tc>
          <w:tcPr>
            <w:tcW w:w="914" w:type="pct"/>
            <w:tcBorders>
              <w:top w:val="single" w:color="auto" w:sz="4" w:space="0"/>
              <w:left w:val="single" w:color="auto" w:sz="4" w:space="0"/>
              <w:bottom w:val="single" w:color="auto" w:sz="4" w:space="0"/>
              <w:right w:val="single" w:color="auto" w:sz="4" w:space="0"/>
            </w:tcBorders>
            <w:vAlign w:val="center"/>
          </w:tcPr>
          <w:p w14:paraId="04BA698E">
            <w:pPr>
              <w:widowControl/>
              <w:jc w:val="center"/>
              <w:rPr>
                <w:rFonts w:ascii="仿宋" w:hAnsi="仿宋" w:eastAsia="仿宋" w:cs="仿宋"/>
                <w:kern w:val="0"/>
                <w:szCs w:val="21"/>
              </w:rPr>
            </w:pPr>
          </w:p>
        </w:tc>
        <w:tc>
          <w:tcPr>
            <w:tcW w:w="583" w:type="pct"/>
            <w:tcBorders>
              <w:top w:val="single" w:color="auto" w:sz="4" w:space="0"/>
              <w:left w:val="single" w:color="auto" w:sz="4" w:space="0"/>
              <w:bottom w:val="single" w:color="auto" w:sz="4" w:space="0"/>
              <w:right w:val="single" w:color="auto" w:sz="4" w:space="0"/>
            </w:tcBorders>
            <w:vAlign w:val="center"/>
          </w:tcPr>
          <w:p w14:paraId="7E701831">
            <w:pPr>
              <w:widowControl/>
              <w:jc w:val="left"/>
              <w:rPr>
                <w:rFonts w:ascii="仿宋" w:hAnsi="仿宋" w:eastAsia="仿宋" w:cs="仿宋"/>
                <w:kern w:val="0"/>
                <w:szCs w:val="21"/>
              </w:rPr>
            </w:pPr>
          </w:p>
        </w:tc>
        <w:tc>
          <w:tcPr>
            <w:tcW w:w="1526" w:type="pct"/>
            <w:tcBorders>
              <w:top w:val="single" w:color="auto" w:sz="4" w:space="0"/>
              <w:left w:val="single" w:color="auto" w:sz="4" w:space="0"/>
              <w:bottom w:val="single" w:color="auto" w:sz="4" w:space="0"/>
              <w:right w:val="single" w:color="auto" w:sz="4" w:space="0"/>
            </w:tcBorders>
            <w:vAlign w:val="center"/>
          </w:tcPr>
          <w:p w14:paraId="2D5D0511">
            <w:pPr>
              <w:widowControl/>
              <w:jc w:val="left"/>
              <w:rPr>
                <w:rFonts w:ascii="仿宋" w:hAnsi="仿宋" w:eastAsia="仿宋" w:cs="仿宋"/>
                <w:kern w:val="0"/>
                <w:szCs w:val="21"/>
              </w:rPr>
            </w:pPr>
          </w:p>
        </w:tc>
      </w:tr>
      <w:tr w14:paraId="683E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79" w:type="pct"/>
            <w:tcBorders>
              <w:top w:val="single" w:color="auto" w:sz="4" w:space="0"/>
              <w:left w:val="single" w:color="auto" w:sz="4" w:space="0"/>
              <w:bottom w:val="single" w:color="auto" w:sz="4" w:space="0"/>
              <w:right w:val="single" w:color="auto" w:sz="4" w:space="0"/>
            </w:tcBorders>
            <w:vAlign w:val="center"/>
          </w:tcPr>
          <w:p w14:paraId="60F21EFA">
            <w:pPr>
              <w:widowControl/>
              <w:jc w:val="center"/>
              <w:rPr>
                <w:rFonts w:ascii="仿宋" w:hAnsi="仿宋" w:eastAsia="仿宋" w:cs="仿宋"/>
                <w:kern w:val="0"/>
                <w:szCs w:val="21"/>
              </w:rPr>
            </w:pPr>
          </w:p>
        </w:tc>
        <w:tc>
          <w:tcPr>
            <w:tcW w:w="1498" w:type="pct"/>
            <w:tcBorders>
              <w:top w:val="single" w:color="auto" w:sz="4" w:space="0"/>
              <w:left w:val="single" w:color="auto" w:sz="4" w:space="0"/>
              <w:bottom w:val="single" w:color="auto" w:sz="4" w:space="0"/>
              <w:right w:val="single" w:color="auto" w:sz="4" w:space="0"/>
            </w:tcBorders>
            <w:vAlign w:val="center"/>
          </w:tcPr>
          <w:p w14:paraId="439B3B61">
            <w:pPr>
              <w:widowControl/>
              <w:jc w:val="center"/>
              <w:rPr>
                <w:rFonts w:ascii="仿宋" w:hAnsi="仿宋" w:eastAsia="仿宋" w:cs="仿宋"/>
                <w:kern w:val="0"/>
                <w:szCs w:val="21"/>
              </w:rPr>
            </w:pPr>
            <w:r>
              <w:rPr>
                <w:rFonts w:hint="eastAsia" w:ascii="仿宋" w:hAnsi="仿宋" w:eastAsia="仿宋" w:cs="仿宋"/>
                <w:kern w:val="0"/>
                <w:szCs w:val="21"/>
              </w:rPr>
              <w:t xml:space="preserve">消息平台 </w:t>
            </w:r>
            <w:r>
              <w:rPr>
                <w:rFonts w:ascii="仿宋" w:hAnsi="仿宋" w:eastAsia="仿宋" w:cs="仿宋"/>
                <w:kern w:val="0"/>
                <w:szCs w:val="21"/>
              </w:rPr>
              <w:t>R2.8.1</w:t>
            </w:r>
          </w:p>
        </w:tc>
        <w:tc>
          <w:tcPr>
            <w:tcW w:w="914" w:type="pct"/>
            <w:tcBorders>
              <w:top w:val="single" w:color="auto" w:sz="4" w:space="0"/>
              <w:left w:val="single" w:color="auto" w:sz="4" w:space="0"/>
              <w:bottom w:val="single" w:color="auto" w:sz="4" w:space="0"/>
              <w:right w:val="single" w:color="auto" w:sz="4" w:space="0"/>
            </w:tcBorders>
            <w:vAlign w:val="center"/>
          </w:tcPr>
          <w:p w14:paraId="3541DAEB">
            <w:pPr>
              <w:widowControl/>
              <w:jc w:val="center"/>
              <w:rPr>
                <w:rFonts w:ascii="仿宋" w:hAnsi="仿宋" w:eastAsia="仿宋" w:cs="仿宋"/>
                <w:kern w:val="0"/>
                <w:szCs w:val="21"/>
              </w:rPr>
            </w:pPr>
          </w:p>
        </w:tc>
        <w:tc>
          <w:tcPr>
            <w:tcW w:w="583" w:type="pct"/>
            <w:tcBorders>
              <w:top w:val="single" w:color="auto" w:sz="4" w:space="0"/>
              <w:left w:val="single" w:color="auto" w:sz="4" w:space="0"/>
              <w:bottom w:val="single" w:color="auto" w:sz="4" w:space="0"/>
              <w:right w:val="single" w:color="auto" w:sz="4" w:space="0"/>
            </w:tcBorders>
            <w:vAlign w:val="center"/>
          </w:tcPr>
          <w:p w14:paraId="3A784BAD">
            <w:pPr>
              <w:widowControl/>
              <w:jc w:val="left"/>
              <w:rPr>
                <w:rFonts w:ascii="仿宋" w:hAnsi="仿宋" w:eastAsia="仿宋" w:cs="仿宋"/>
                <w:kern w:val="0"/>
                <w:szCs w:val="21"/>
              </w:rPr>
            </w:pPr>
          </w:p>
        </w:tc>
        <w:tc>
          <w:tcPr>
            <w:tcW w:w="1526" w:type="pct"/>
            <w:tcBorders>
              <w:top w:val="single" w:color="auto" w:sz="4" w:space="0"/>
              <w:left w:val="single" w:color="auto" w:sz="4" w:space="0"/>
              <w:bottom w:val="single" w:color="auto" w:sz="4" w:space="0"/>
              <w:right w:val="single" w:color="auto" w:sz="4" w:space="0"/>
            </w:tcBorders>
            <w:vAlign w:val="center"/>
          </w:tcPr>
          <w:p w14:paraId="33FC11AD">
            <w:pPr>
              <w:widowControl/>
              <w:jc w:val="left"/>
              <w:rPr>
                <w:rFonts w:ascii="仿宋" w:hAnsi="仿宋" w:eastAsia="仿宋" w:cs="仿宋"/>
                <w:kern w:val="0"/>
                <w:szCs w:val="21"/>
              </w:rPr>
            </w:pPr>
          </w:p>
        </w:tc>
      </w:tr>
    </w:tbl>
    <w:p w14:paraId="6663F287">
      <w:pPr>
        <w:spacing w:line="360" w:lineRule="auto"/>
        <w:rPr>
          <w:rFonts w:ascii="仿宋" w:hAnsi="仿宋" w:eastAsia="仿宋"/>
          <w:color w:val="000000" w:themeColor="text1"/>
          <w:sz w:val="28"/>
          <w:szCs w:val="24"/>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3-01-30T13:22:00Z" w:initials="admin">
    <w:p w14:paraId="739714F7">
      <w:pPr>
        <w:pStyle w:val="2"/>
        <w:rPr>
          <w:rFonts w:hint="eastAsia"/>
        </w:rPr>
      </w:pPr>
      <w:r>
        <w:rPr>
          <w:rFonts w:hint="eastAsia"/>
        </w:rPr>
        <w:t>更新，要求语句通顺定位明确</w:t>
      </w:r>
    </w:p>
  </w:comment>
  <w:comment w:id="1" w:author="Administrator" w:date="2023-01-30T13:22:00Z" w:initials="admin">
    <w:p w14:paraId="0552D2DA">
      <w:pPr>
        <w:pStyle w:val="2"/>
      </w:pPr>
      <w:r>
        <w:rPr>
          <w:rFonts w:hint="eastAsia"/>
        </w:rPr>
        <w:t>什么情况？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39714F7" w15:done="0"/>
  <w15:commentEx w15:paraId="0552D2D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EA4EB9"/>
    <w:multiLevelType w:val="multilevel"/>
    <w:tmpl w:val="58EA4EB9"/>
    <w:lvl w:ilvl="0" w:tentative="0">
      <w:start w:val="1"/>
      <w:numFmt w:val="chineseCountingThousand"/>
      <w:lvlText w:val="第%1章"/>
      <w:lvlJc w:val="left"/>
      <w:pPr>
        <w:ind w:left="425" w:hanging="425"/>
      </w:pPr>
    </w:lvl>
    <w:lvl w:ilvl="1" w:tentative="0">
      <w:start w:val="1"/>
      <w:numFmt w:val="decimal"/>
      <w:isLgl/>
      <w:lvlText w:val="%1.%2"/>
      <w:lvlJc w:val="left"/>
      <w:pPr>
        <w:ind w:left="425" w:hanging="425"/>
      </w:pPr>
    </w:lvl>
    <w:lvl w:ilvl="2" w:tentative="0">
      <w:start w:val="1"/>
      <w:numFmt w:val="decimal"/>
      <w:isLgl/>
      <w:lvlText w:val="%1.%2.%3"/>
      <w:lvlJc w:val="left"/>
      <w:pPr>
        <w:ind w:left="425" w:hanging="425"/>
      </w:pPr>
    </w:lvl>
    <w:lvl w:ilvl="3" w:tentative="0">
      <w:start w:val="1"/>
      <w:numFmt w:val="decimal"/>
      <w:isLgl/>
      <w:lvlText w:val="%1.%2.%3.%4"/>
      <w:lvlJc w:val="left"/>
      <w:pPr>
        <w:ind w:left="425" w:hanging="425"/>
      </w:pPr>
    </w:lvl>
    <w:lvl w:ilvl="4" w:tentative="0">
      <w:start w:val="1"/>
      <w:numFmt w:val="decimal"/>
      <w:isLgl/>
      <w:lvlText w:val="%1.%2.%3.%4.%5"/>
      <w:lvlJc w:val="left"/>
      <w:pPr>
        <w:ind w:left="425" w:hanging="425"/>
      </w:pPr>
    </w:lvl>
    <w:lvl w:ilvl="5" w:tentative="0">
      <w:start w:val="1"/>
      <w:numFmt w:val="decimal"/>
      <w:isLgl/>
      <w:lvlText w:val="%1.%2.%3.%4.%5.%6"/>
      <w:lvlJc w:val="left"/>
      <w:pPr>
        <w:ind w:left="425" w:hanging="425"/>
      </w:pPr>
    </w:lvl>
    <w:lvl w:ilvl="6" w:tentative="0">
      <w:start w:val="1"/>
      <w:numFmt w:val="decimal"/>
      <w:isLgl/>
      <w:lvlText w:val="%1.%2.%3.%4.%5.%6.%7"/>
      <w:lvlJc w:val="left"/>
      <w:pPr>
        <w:ind w:left="425" w:hanging="425"/>
      </w:pPr>
    </w:lvl>
    <w:lvl w:ilvl="7" w:tentative="0">
      <w:start w:val="1"/>
      <w:numFmt w:val="decimal"/>
      <w:isLgl/>
      <w:lvlText w:val="%1.%2.%3.%4.%5.%6.%7.%8"/>
      <w:lvlJc w:val="left"/>
      <w:pPr>
        <w:ind w:left="425" w:hanging="425"/>
      </w:pPr>
    </w:lvl>
    <w:lvl w:ilvl="8" w:tentative="0">
      <w:start w:val="1"/>
      <w:numFmt w:val="decimal"/>
      <w:isLgl/>
      <w:lvlText w:val="%1.%2.%3.%4.%5.%6.%7.%8.%9"/>
      <w:lvlJc w:val="left"/>
      <w:pPr>
        <w:ind w:left="425" w:hanging="425"/>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D36"/>
    <w:rsid w:val="0000146C"/>
    <w:rsid w:val="000072C1"/>
    <w:rsid w:val="00007CA8"/>
    <w:rsid w:val="00012EE4"/>
    <w:rsid w:val="00013E0B"/>
    <w:rsid w:val="00014CDD"/>
    <w:rsid w:val="00015CCD"/>
    <w:rsid w:val="00021150"/>
    <w:rsid w:val="000233A3"/>
    <w:rsid w:val="000273F4"/>
    <w:rsid w:val="00031CBB"/>
    <w:rsid w:val="00033068"/>
    <w:rsid w:val="000334DD"/>
    <w:rsid w:val="00063279"/>
    <w:rsid w:val="000740D1"/>
    <w:rsid w:val="000850BE"/>
    <w:rsid w:val="000936A4"/>
    <w:rsid w:val="000939DE"/>
    <w:rsid w:val="0009405E"/>
    <w:rsid w:val="000A2616"/>
    <w:rsid w:val="000A27FE"/>
    <w:rsid w:val="000A4A3C"/>
    <w:rsid w:val="000A72CA"/>
    <w:rsid w:val="000B2B08"/>
    <w:rsid w:val="000B4B26"/>
    <w:rsid w:val="000B6FEA"/>
    <w:rsid w:val="000B7F9B"/>
    <w:rsid w:val="000C2B07"/>
    <w:rsid w:val="000C3544"/>
    <w:rsid w:val="000D33CA"/>
    <w:rsid w:val="000D698B"/>
    <w:rsid w:val="000E1248"/>
    <w:rsid w:val="000E2C55"/>
    <w:rsid w:val="000E4C22"/>
    <w:rsid w:val="000F2B35"/>
    <w:rsid w:val="000F387B"/>
    <w:rsid w:val="000F701C"/>
    <w:rsid w:val="000F78C9"/>
    <w:rsid w:val="00102A7A"/>
    <w:rsid w:val="001036BC"/>
    <w:rsid w:val="00106A61"/>
    <w:rsid w:val="00110D3F"/>
    <w:rsid w:val="00113626"/>
    <w:rsid w:val="00122436"/>
    <w:rsid w:val="001227D5"/>
    <w:rsid w:val="00126B68"/>
    <w:rsid w:val="0013060A"/>
    <w:rsid w:val="00133167"/>
    <w:rsid w:val="00134A78"/>
    <w:rsid w:val="00137244"/>
    <w:rsid w:val="0014250F"/>
    <w:rsid w:val="00152460"/>
    <w:rsid w:val="0016099E"/>
    <w:rsid w:val="00163DDA"/>
    <w:rsid w:val="001774B5"/>
    <w:rsid w:val="0018133F"/>
    <w:rsid w:val="00191C1F"/>
    <w:rsid w:val="001B14BF"/>
    <w:rsid w:val="001B3B23"/>
    <w:rsid w:val="001B5396"/>
    <w:rsid w:val="001C7285"/>
    <w:rsid w:val="001D217F"/>
    <w:rsid w:val="001E55C2"/>
    <w:rsid w:val="001E5A2F"/>
    <w:rsid w:val="001F3FFD"/>
    <w:rsid w:val="001F477D"/>
    <w:rsid w:val="001F5237"/>
    <w:rsid w:val="00205D15"/>
    <w:rsid w:val="00216339"/>
    <w:rsid w:val="00224B3B"/>
    <w:rsid w:val="00234C1D"/>
    <w:rsid w:val="00243486"/>
    <w:rsid w:val="00251D50"/>
    <w:rsid w:val="00254E92"/>
    <w:rsid w:val="00255545"/>
    <w:rsid w:val="00263350"/>
    <w:rsid w:val="00267592"/>
    <w:rsid w:val="00274A81"/>
    <w:rsid w:val="00283D28"/>
    <w:rsid w:val="00287129"/>
    <w:rsid w:val="00290CE5"/>
    <w:rsid w:val="002A7C10"/>
    <w:rsid w:val="002C2625"/>
    <w:rsid w:val="002C35B6"/>
    <w:rsid w:val="002C674B"/>
    <w:rsid w:val="002D29E7"/>
    <w:rsid w:val="002D47B4"/>
    <w:rsid w:val="002D47C6"/>
    <w:rsid w:val="002E11B6"/>
    <w:rsid w:val="002F1207"/>
    <w:rsid w:val="003160A7"/>
    <w:rsid w:val="00316B0D"/>
    <w:rsid w:val="00323965"/>
    <w:rsid w:val="00324A19"/>
    <w:rsid w:val="0033362D"/>
    <w:rsid w:val="003417F7"/>
    <w:rsid w:val="00341A56"/>
    <w:rsid w:val="0035088E"/>
    <w:rsid w:val="00354CBA"/>
    <w:rsid w:val="00360AEA"/>
    <w:rsid w:val="00371933"/>
    <w:rsid w:val="00374728"/>
    <w:rsid w:val="00382434"/>
    <w:rsid w:val="0038712E"/>
    <w:rsid w:val="00390977"/>
    <w:rsid w:val="00393B1D"/>
    <w:rsid w:val="00395043"/>
    <w:rsid w:val="003A3ECB"/>
    <w:rsid w:val="003A4ED8"/>
    <w:rsid w:val="003A57A3"/>
    <w:rsid w:val="003A60E6"/>
    <w:rsid w:val="003C0070"/>
    <w:rsid w:val="003D1774"/>
    <w:rsid w:val="003D25BE"/>
    <w:rsid w:val="003D2F06"/>
    <w:rsid w:val="003D6F5B"/>
    <w:rsid w:val="003E72F7"/>
    <w:rsid w:val="003F17D8"/>
    <w:rsid w:val="003F73DE"/>
    <w:rsid w:val="00401CB1"/>
    <w:rsid w:val="004045FC"/>
    <w:rsid w:val="0041049C"/>
    <w:rsid w:val="00421A26"/>
    <w:rsid w:val="00421C27"/>
    <w:rsid w:val="00423FBE"/>
    <w:rsid w:val="004254D6"/>
    <w:rsid w:val="00425CC6"/>
    <w:rsid w:val="004275CA"/>
    <w:rsid w:val="00427EB5"/>
    <w:rsid w:val="00427FA8"/>
    <w:rsid w:val="00433D93"/>
    <w:rsid w:val="0044094D"/>
    <w:rsid w:val="00444633"/>
    <w:rsid w:val="00444C04"/>
    <w:rsid w:val="00447B5B"/>
    <w:rsid w:val="00450D1C"/>
    <w:rsid w:val="004511AE"/>
    <w:rsid w:val="004565DC"/>
    <w:rsid w:val="00456935"/>
    <w:rsid w:val="00471E4C"/>
    <w:rsid w:val="00481735"/>
    <w:rsid w:val="00484069"/>
    <w:rsid w:val="00490320"/>
    <w:rsid w:val="0049104D"/>
    <w:rsid w:val="00491278"/>
    <w:rsid w:val="00491CBF"/>
    <w:rsid w:val="00496B18"/>
    <w:rsid w:val="004A0C51"/>
    <w:rsid w:val="004A276E"/>
    <w:rsid w:val="004A5287"/>
    <w:rsid w:val="004B018C"/>
    <w:rsid w:val="004B357D"/>
    <w:rsid w:val="004C256E"/>
    <w:rsid w:val="004C418D"/>
    <w:rsid w:val="004C6D06"/>
    <w:rsid w:val="004D029F"/>
    <w:rsid w:val="004D0DB2"/>
    <w:rsid w:val="004D3C46"/>
    <w:rsid w:val="004D4F27"/>
    <w:rsid w:val="004E0E9A"/>
    <w:rsid w:val="004E69AB"/>
    <w:rsid w:val="004E741F"/>
    <w:rsid w:val="004F14D8"/>
    <w:rsid w:val="004F274F"/>
    <w:rsid w:val="004F385B"/>
    <w:rsid w:val="004F7827"/>
    <w:rsid w:val="005005C9"/>
    <w:rsid w:val="00505774"/>
    <w:rsid w:val="00516006"/>
    <w:rsid w:val="005205A6"/>
    <w:rsid w:val="00522D3C"/>
    <w:rsid w:val="00526735"/>
    <w:rsid w:val="00535033"/>
    <w:rsid w:val="00561B16"/>
    <w:rsid w:val="005630FA"/>
    <w:rsid w:val="00572932"/>
    <w:rsid w:val="0057323A"/>
    <w:rsid w:val="0057432E"/>
    <w:rsid w:val="005744CC"/>
    <w:rsid w:val="00575CC9"/>
    <w:rsid w:val="005838FC"/>
    <w:rsid w:val="0058795D"/>
    <w:rsid w:val="00594BAF"/>
    <w:rsid w:val="00595663"/>
    <w:rsid w:val="0059662D"/>
    <w:rsid w:val="005A3A82"/>
    <w:rsid w:val="005A6F13"/>
    <w:rsid w:val="005B2B29"/>
    <w:rsid w:val="005B7DB9"/>
    <w:rsid w:val="005D2DD4"/>
    <w:rsid w:val="005E1321"/>
    <w:rsid w:val="00603EB6"/>
    <w:rsid w:val="006072E6"/>
    <w:rsid w:val="006119D9"/>
    <w:rsid w:val="00615EBF"/>
    <w:rsid w:val="0061682F"/>
    <w:rsid w:val="00616952"/>
    <w:rsid w:val="00620FC3"/>
    <w:rsid w:val="006231E4"/>
    <w:rsid w:val="006515E0"/>
    <w:rsid w:val="00654E76"/>
    <w:rsid w:val="00664C0D"/>
    <w:rsid w:val="006742D1"/>
    <w:rsid w:val="00683B81"/>
    <w:rsid w:val="006932F6"/>
    <w:rsid w:val="00694EF6"/>
    <w:rsid w:val="006A3B77"/>
    <w:rsid w:val="006A575C"/>
    <w:rsid w:val="006A583B"/>
    <w:rsid w:val="006B5054"/>
    <w:rsid w:val="006C18B8"/>
    <w:rsid w:val="006C1B1D"/>
    <w:rsid w:val="006D6FF6"/>
    <w:rsid w:val="006E1251"/>
    <w:rsid w:val="006E64D3"/>
    <w:rsid w:val="006E7B0F"/>
    <w:rsid w:val="006F7249"/>
    <w:rsid w:val="0070272C"/>
    <w:rsid w:val="007032D1"/>
    <w:rsid w:val="00704020"/>
    <w:rsid w:val="0071006C"/>
    <w:rsid w:val="007152CA"/>
    <w:rsid w:val="007226F5"/>
    <w:rsid w:val="007232B3"/>
    <w:rsid w:val="00723A7B"/>
    <w:rsid w:val="00724392"/>
    <w:rsid w:val="00724687"/>
    <w:rsid w:val="007276FD"/>
    <w:rsid w:val="00732D3E"/>
    <w:rsid w:val="0073491B"/>
    <w:rsid w:val="00743531"/>
    <w:rsid w:val="0074403B"/>
    <w:rsid w:val="0074654D"/>
    <w:rsid w:val="00750B02"/>
    <w:rsid w:val="00753F29"/>
    <w:rsid w:val="007559A2"/>
    <w:rsid w:val="007569D3"/>
    <w:rsid w:val="007653C6"/>
    <w:rsid w:val="007803EA"/>
    <w:rsid w:val="00782423"/>
    <w:rsid w:val="00785D9C"/>
    <w:rsid w:val="0078750F"/>
    <w:rsid w:val="007A196C"/>
    <w:rsid w:val="007B067A"/>
    <w:rsid w:val="007B2E9F"/>
    <w:rsid w:val="007B51C9"/>
    <w:rsid w:val="007C125B"/>
    <w:rsid w:val="007C74A4"/>
    <w:rsid w:val="007D7979"/>
    <w:rsid w:val="007E0367"/>
    <w:rsid w:val="007E0547"/>
    <w:rsid w:val="007E2400"/>
    <w:rsid w:val="007E5B93"/>
    <w:rsid w:val="007F2227"/>
    <w:rsid w:val="00805291"/>
    <w:rsid w:val="00805DA3"/>
    <w:rsid w:val="00807890"/>
    <w:rsid w:val="00813750"/>
    <w:rsid w:val="008203F7"/>
    <w:rsid w:val="00821920"/>
    <w:rsid w:val="00823888"/>
    <w:rsid w:val="00825EF5"/>
    <w:rsid w:val="00830637"/>
    <w:rsid w:val="00831910"/>
    <w:rsid w:val="00836359"/>
    <w:rsid w:val="00836A5D"/>
    <w:rsid w:val="00836CE2"/>
    <w:rsid w:val="00840203"/>
    <w:rsid w:val="008465D3"/>
    <w:rsid w:val="0084707D"/>
    <w:rsid w:val="00850812"/>
    <w:rsid w:val="0085686B"/>
    <w:rsid w:val="00863EF4"/>
    <w:rsid w:val="00864A38"/>
    <w:rsid w:val="008656D6"/>
    <w:rsid w:val="00866A76"/>
    <w:rsid w:val="00866B83"/>
    <w:rsid w:val="00871646"/>
    <w:rsid w:val="00876A86"/>
    <w:rsid w:val="0088083E"/>
    <w:rsid w:val="00880C24"/>
    <w:rsid w:val="008907E6"/>
    <w:rsid w:val="00892791"/>
    <w:rsid w:val="008949CD"/>
    <w:rsid w:val="0089752F"/>
    <w:rsid w:val="008A313F"/>
    <w:rsid w:val="008A5E72"/>
    <w:rsid w:val="008A71B8"/>
    <w:rsid w:val="008B736F"/>
    <w:rsid w:val="008C5044"/>
    <w:rsid w:val="008C6AB1"/>
    <w:rsid w:val="008D2ABC"/>
    <w:rsid w:val="008F422A"/>
    <w:rsid w:val="00903DF7"/>
    <w:rsid w:val="009050E3"/>
    <w:rsid w:val="0091452B"/>
    <w:rsid w:val="0091496E"/>
    <w:rsid w:val="00917C88"/>
    <w:rsid w:val="009224B5"/>
    <w:rsid w:val="00924EC9"/>
    <w:rsid w:val="00926697"/>
    <w:rsid w:val="00927760"/>
    <w:rsid w:val="009313E6"/>
    <w:rsid w:val="009339FB"/>
    <w:rsid w:val="0095014F"/>
    <w:rsid w:val="00951F76"/>
    <w:rsid w:val="00952380"/>
    <w:rsid w:val="00954219"/>
    <w:rsid w:val="00962E78"/>
    <w:rsid w:val="0097283B"/>
    <w:rsid w:val="00974E01"/>
    <w:rsid w:val="009759B5"/>
    <w:rsid w:val="00981D78"/>
    <w:rsid w:val="00982784"/>
    <w:rsid w:val="00983337"/>
    <w:rsid w:val="009854B3"/>
    <w:rsid w:val="00986041"/>
    <w:rsid w:val="00991032"/>
    <w:rsid w:val="009914C3"/>
    <w:rsid w:val="00992CCF"/>
    <w:rsid w:val="00993A47"/>
    <w:rsid w:val="00996632"/>
    <w:rsid w:val="00996D2F"/>
    <w:rsid w:val="009A2391"/>
    <w:rsid w:val="009B0A53"/>
    <w:rsid w:val="009B790F"/>
    <w:rsid w:val="009C2A5F"/>
    <w:rsid w:val="009D6A24"/>
    <w:rsid w:val="009E48A3"/>
    <w:rsid w:val="009E724B"/>
    <w:rsid w:val="009F3474"/>
    <w:rsid w:val="009F35B0"/>
    <w:rsid w:val="009F590A"/>
    <w:rsid w:val="009F7FF5"/>
    <w:rsid w:val="00A01B80"/>
    <w:rsid w:val="00A0265F"/>
    <w:rsid w:val="00A17AF6"/>
    <w:rsid w:val="00A24A17"/>
    <w:rsid w:val="00A3297D"/>
    <w:rsid w:val="00A32B27"/>
    <w:rsid w:val="00A33D78"/>
    <w:rsid w:val="00A3424E"/>
    <w:rsid w:val="00A37BFB"/>
    <w:rsid w:val="00A42171"/>
    <w:rsid w:val="00A4471B"/>
    <w:rsid w:val="00A471CB"/>
    <w:rsid w:val="00A53798"/>
    <w:rsid w:val="00A5590E"/>
    <w:rsid w:val="00A5618C"/>
    <w:rsid w:val="00A71064"/>
    <w:rsid w:val="00A75C41"/>
    <w:rsid w:val="00A83122"/>
    <w:rsid w:val="00A83C1C"/>
    <w:rsid w:val="00A91DE9"/>
    <w:rsid w:val="00A95E25"/>
    <w:rsid w:val="00A9656B"/>
    <w:rsid w:val="00A97495"/>
    <w:rsid w:val="00AA07B7"/>
    <w:rsid w:val="00AA7910"/>
    <w:rsid w:val="00AB0621"/>
    <w:rsid w:val="00AB0FC0"/>
    <w:rsid w:val="00AB55CA"/>
    <w:rsid w:val="00AB6215"/>
    <w:rsid w:val="00AB7DD5"/>
    <w:rsid w:val="00AD1100"/>
    <w:rsid w:val="00AD1F08"/>
    <w:rsid w:val="00AE29BA"/>
    <w:rsid w:val="00AE48C8"/>
    <w:rsid w:val="00AE4D33"/>
    <w:rsid w:val="00AE6D65"/>
    <w:rsid w:val="00AE726F"/>
    <w:rsid w:val="00AF25A2"/>
    <w:rsid w:val="00AF2674"/>
    <w:rsid w:val="00AF345B"/>
    <w:rsid w:val="00AF7BE7"/>
    <w:rsid w:val="00B02A22"/>
    <w:rsid w:val="00B144CD"/>
    <w:rsid w:val="00B2260D"/>
    <w:rsid w:val="00B2270C"/>
    <w:rsid w:val="00B25029"/>
    <w:rsid w:val="00B264E8"/>
    <w:rsid w:val="00B4008B"/>
    <w:rsid w:val="00B54C99"/>
    <w:rsid w:val="00B61191"/>
    <w:rsid w:val="00B61765"/>
    <w:rsid w:val="00B66713"/>
    <w:rsid w:val="00B76B52"/>
    <w:rsid w:val="00B7731A"/>
    <w:rsid w:val="00B83BE1"/>
    <w:rsid w:val="00B86B36"/>
    <w:rsid w:val="00B9542D"/>
    <w:rsid w:val="00BA3659"/>
    <w:rsid w:val="00BB2A83"/>
    <w:rsid w:val="00BB64BF"/>
    <w:rsid w:val="00BB6F5A"/>
    <w:rsid w:val="00BD29D2"/>
    <w:rsid w:val="00BD3887"/>
    <w:rsid w:val="00BD5F53"/>
    <w:rsid w:val="00BE6DB8"/>
    <w:rsid w:val="00BF5F70"/>
    <w:rsid w:val="00BF7718"/>
    <w:rsid w:val="00C1532B"/>
    <w:rsid w:val="00C16D89"/>
    <w:rsid w:val="00C21104"/>
    <w:rsid w:val="00C23BF4"/>
    <w:rsid w:val="00C24E9B"/>
    <w:rsid w:val="00C30573"/>
    <w:rsid w:val="00C32421"/>
    <w:rsid w:val="00C375C5"/>
    <w:rsid w:val="00C42254"/>
    <w:rsid w:val="00C422C2"/>
    <w:rsid w:val="00C42F7B"/>
    <w:rsid w:val="00C4316B"/>
    <w:rsid w:val="00C53AF2"/>
    <w:rsid w:val="00C5498D"/>
    <w:rsid w:val="00C57030"/>
    <w:rsid w:val="00C60A9E"/>
    <w:rsid w:val="00C63EA7"/>
    <w:rsid w:val="00C70818"/>
    <w:rsid w:val="00C72C0B"/>
    <w:rsid w:val="00C74D9E"/>
    <w:rsid w:val="00C840E9"/>
    <w:rsid w:val="00C946EF"/>
    <w:rsid w:val="00CB0C98"/>
    <w:rsid w:val="00CB30D0"/>
    <w:rsid w:val="00CC331D"/>
    <w:rsid w:val="00CC3CD8"/>
    <w:rsid w:val="00CC445B"/>
    <w:rsid w:val="00CC5011"/>
    <w:rsid w:val="00CC572A"/>
    <w:rsid w:val="00CC64B8"/>
    <w:rsid w:val="00CD1143"/>
    <w:rsid w:val="00CD5373"/>
    <w:rsid w:val="00CD645E"/>
    <w:rsid w:val="00CE1378"/>
    <w:rsid w:val="00CE1CFF"/>
    <w:rsid w:val="00CE75FD"/>
    <w:rsid w:val="00CF1B93"/>
    <w:rsid w:val="00CF2BCA"/>
    <w:rsid w:val="00CF38BD"/>
    <w:rsid w:val="00CF3C50"/>
    <w:rsid w:val="00CF7DEE"/>
    <w:rsid w:val="00D01FD4"/>
    <w:rsid w:val="00D034F8"/>
    <w:rsid w:val="00D12249"/>
    <w:rsid w:val="00D1630A"/>
    <w:rsid w:val="00D23465"/>
    <w:rsid w:val="00D23E25"/>
    <w:rsid w:val="00D24119"/>
    <w:rsid w:val="00D25AC0"/>
    <w:rsid w:val="00D308DE"/>
    <w:rsid w:val="00D33866"/>
    <w:rsid w:val="00D35916"/>
    <w:rsid w:val="00D36FA9"/>
    <w:rsid w:val="00D411A8"/>
    <w:rsid w:val="00D451D5"/>
    <w:rsid w:val="00D50427"/>
    <w:rsid w:val="00D60246"/>
    <w:rsid w:val="00D612B9"/>
    <w:rsid w:val="00D61C2B"/>
    <w:rsid w:val="00D62A81"/>
    <w:rsid w:val="00D62DE2"/>
    <w:rsid w:val="00D66683"/>
    <w:rsid w:val="00D673EF"/>
    <w:rsid w:val="00D73B45"/>
    <w:rsid w:val="00D77688"/>
    <w:rsid w:val="00D80859"/>
    <w:rsid w:val="00D82655"/>
    <w:rsid w:val="00D856DF"/>
    <w:rsid w:val="00D87096"/>
    <w:rsid w:val="00D911DA"/>
    <w:rsid w:val="00D92C0E"/>
    <w:rsid w:val="00D9338E"/>
    <w:rsid w:val="00D97140"/>
    <w:rsid w:val="00DA105A"/>
    <w:rsid w:val="00DA1793"/>
    <w:rsid w:val="00DA5D59"/>
    <w:rsid w:val="00DB03CA"/>
    <w:rsid w:val="00DB52E2"/>
    <w:rsid w:val="00DB6A32"/>
    <w:rsid w:val="00DB71C9"/>
    <w:rsid w:val="00DB7AA6"/>
    <w:rsid w:val="00DC106C"/>
    <w:rsid w:val="00DC1C36"/>
    <w:rsid w:val="00DC3430"/>
    <w:rsid w:val="00DD0445"/>
    <w:rsid w:val="00DD5D6C"/>
    <w:rsid w:val="00DD74CD"/>
    <w:rsid w:val="00DE06D6"/>
    <w:rsid w:val="00DE075E"/>
    <w:rsid w:val="00DE1898"/>
    <w:rsid w:val="00DF3F1E"/>
    <w:rsid w:val="00E00289"/>
    <w:rsid w:val="00E00AC8"/>
    <w:rsid w:val="00E0386F"/>
    <w:rsid w:val="00E04B9C"/>
    <w:rsid w:val="00E069E9"/>
    <w:rsid w:val="00E07350"/>
    <w:rsid w:val="00E13327"/>
    <w:rsid w:val="00E15AED"/>
    <w:rsid w:val="00E16835"/>
    <w:rsid w:val="00E2183F"/>
    <w:rsid w:val="00E222F4"/>
    <w:rsid w:val="00E35089"/>
    <w:rsid w:val="00E358E9"/>
    <w:rsid w:val="00E5601F"/>
    <w:rsid w:val="00E579E4"/>
    <w:rsid w:val="00E57D34"/>
    <w:rsid w:val="00E60CC1"/>
    <w:rsid w:val="00E73B20"/>
    <w:rsid w:val="00E74E06"/>
    <w:rsid w:val="00E91EB8"/>
    <w:rsid w:val="00E9391C"/>
    <w:rsid w:val="00EA13F4"/>
    <w:rsid w:val="00EA402F"/>
    <w:rsid w:val="00EB233A"/>
    <w:rsid w:val="00EB7392"/>
    <w:rsid w:val="00EB7F92"/>
    <w:rsid w:val="00EC3D36"/>
    <w:rsid w:val="00EC7430"/>
    <w:rsid w:val="00ED166D"/>
    <w:rsid w:val="00ED375C"/>
    <w:rsid w:val="00EE4026"/>
    <w:rsid w:val="00EE4FB4"/>
    <w:rsid w:val="00EE5A7C"/>
    <w:rsid w:val="00EE74BE"/>
    <w:rsid w:val="00EF1813"/>
    <w:rsid w:val="00EF601F"/>
    <w:rsid w:val="00EF6D4F"/>
    <w:rsid w:val="00F00B60"/>
    <w:rsid w:val="00F05CED"/>
    <w:rsid w:val="00F06C25"/>
    <w:rsid w:val="00F07E1E"/>
    <w:rsid w:val="00F13237"/>
    <w:rsid w:val="00F159A6"/>
    <w:rsid w:val="00F21246"/>
    <w:rsid w:val="00F25F50"/>
    <w:rsid w:val="00F335FB"/>
    <w:rsid w:val="00F4756C"/>
    <w:rsid w:val="00F5659B"/>
    <w:rsid w:val="00F578AC"/>
    <w:rsid w:val="00F633EE"/>
    <w:rsid w:val="00F659E3"/>
    <w:rsid w:val="00F662D2"/>
    <w:rsid w:val="00F677FA"/>
    <w:rsid w:val="00F703F9"/>
    <w:rsid w:val="00F729B7"/>
    <w:rsid w:val="00F72FBC"/>
    <w:rsid w:val="00F73E81"/>
    <w:rsid w:val="00F745D2"/>
    <w:rsid w:val="00F81B80"/>
    <w:rsid w:val="00F825B4"/>
    <w:rsid w:val="00F833C0"/>
    <w:rsid w:val="00F9002C"/>
    <w:rsid w:val="00F9353A"/>
    <w:rsid w:val="00F9488D"/>
    <w:rsid w:val="00F95B1A"/>
    <w:rsid w:val="00F963FC"/>
    <w:rsid w:val="00F97326"/>
    <w:rsid w:val="00FA1AB7"/>
    <w:rsid w:val="00FA7698"/>
    <w:rsid w:val="00FB5899"/>
    <w:rsid w:val="00FB68D3"/>
    <w:rsid w:val="00FC394B"/>
    <w:rsid w:val="00FC42BC"/>
    <w:rsid w:val="00FC78B0"/>
    <w:rsid w:val="00FC7A22"/>
    <w:rsid w:val="00FD46E9"/>
    <w:rsid w:val="00FD4CC2"/>
    <w:rsid w:val="00FE10B5"/>
    <w:rsid w:val="00FE1EB6"/>
    <w:rsid w:val="00FE208B"/>
    <w:rsid w:val="00FE4889"/>
    <w:rsid w:val="00FE538A"/>
    <w:rsid w:val="00FE72EB"/>
    <w:rsid w:val="00FF558F"/>
    <w:rsid w:val="1EE365F2"/>
    <w:rsid w:val="29E8443A"/>
    <w:rsid w:val="510D2D52"/>
    <w:rsid w:val="60737286"/>
    <w:rsid w:val="6BC55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semiHidden/>
    <w:unhideWhenUsed/>
    <w:uiPriority w:val="99"/>
    <w:pPr>
      <w:jc w:val="left"/>
    </w:pPr>
  </w:style>
  <w:style w:type="paragraph" w:styleId="3">
    <w:name w:val="Balloon Text"/>
    <w:basedOn w:val="1"/>
    <w:link w:val="15"/>
    <w:semiHidden/>
    <w:unhideWhenUsed/>
    <w:uiPriority w:val="99"/>
    <w:rPr>
      <w:sz w:val="18"/>
      <w:szCs w:val="18"/>
    </w:rPr>
  </w:style>
  <w:style w:type="paragraph" w:styleId="4">
    <w:name w:val="footer"/>
    <w:basedOn w:val="1"/>
    <w:link w:val="17"/>
    <w:unhideWhenUsed/>
    <w:uiPriority w:val="99"/>
    <w:pPr>
      <w:tabs>
        <w:tab w:val="center" w:pos="4153"/>
        <w:tab w:val="right" w:pos="8306"/>
      </w:tabs>
      <w:snapToGrid w:val="0"/>
      <w:jc w:val="left"/>
    </w:pPr>
    <w:rPr>
      <w:sz w:val="18"/>
      <w:szCs w:val="18"/>
    </w:rPr>
  </w:style>
  <w:style w:type="paragraph" w:styleId="5">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uiPriority w:val="99"/>
    <w:rPr>
      <w:b/>
      <w:bCs/>
    </w:rPr>
  </w:style>
  <w:style w:type="table" w:styleId="8">
    <w:name w:val="Table Grid"/>
    <w:basedOn w:val="7"/>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uiPriority w:val="99"/>
    <w:rPr>
      <w:sz w:val="21"/>
      <w:szCs w:val="21"/>
    </w:rPr>
  </w:style>
  <w:style w:type="paragraph" w:styleId="11">
    <w:name w:val="List Paragraph"/>
    <w:basedOn w:val="1"/>
    <w:qFormat/>
    <w:uiPriority w:val="34"/>
    <w:pPr>
      <w:ind w:firstLine="420" w:firstLineChars="200"/>
    </w:pPr>
  </w:style>
  <w:style w:type="paragraph" w:customStyle="1" w:styleId="12">
    <w:name w:val="列表段落1"/>
    <w:basedOn w:val="1"/>
    <w:qFormat/>
    <w:uiPriority w:val="34"/>
    <w:pPr>
      <w:ind w:firstLine="420" w:firstLineChars="200"/>
    </w:pPr>
    <w:rPr>
      <w:szCs w:val="24"/>
    </w:rPr>
  </w:style>
  <w:style w:type="character" w:customStyle="1" w:styleId="13">
    <w:name w:val="批注文字 字符"/>
    <w:basedOn w:val="9"/>
    <w:link w:val="2"/>
    <w:semiHidden/>
    <w:uiPriority w:val="99"/>
    <w:rPr>
      <w:kern w:val="2"/>
      <w:sz w:val="21"/>
      <w:szCs w:val="22"/>
    </w:rPr>
  </w:style>
  <w:style w:type="character" w:customStyle="1" w:styleId="14">
    <w:name w:val="批注主题 字符"/>
    <w:basedOn w:val="13"/>
    <w:link w:val="6"/>
    <w:semiHidden/>
    <w:uiPriority w:val="99"/>
    <w:rPr>
      <w:b/>
      <w:bCs/>
      <w:kern w:val="2"/>
      <w:sz w:val="21"/>
      <w:szCs w:val="22"/>
    </w:rPr>
  </w:style>
  <w:style w:type="character" w:customStyle="1" w:styleId="15">
    <w:name w:val="批注框文本 字符"/>
    <w:basedOn w:val="9"/>
    <w:link w:val="3"/>
    <w:semiHidden/>
    <w:uiPriority w:val="99"/>
    <w:rPr>
      <w:kern w:val="2"/>
      <w:sz w:val="18"/>
      <w:szCs w:val="18"/>
    </w:rPr>
  </w:style>
  <w:style w:type="character" w:customStyle="1" w:styleId="16">
    <w:name w:val="页眉 字符"/>
    <w:basedOn w:val="9"/>
    <w:link w:val="5"/>
    <w:uiPriority w:val="99"/>
    <w:rPr>
      <w:kern w:val="2"/>
      <w:sz w:val="18"/>
      <w:szCs w:val="18"/>
    </w:rPr>
  </w:style>
  <w:style w:type="character" w:customStyle="1" w:styleId="17">
    <w:name w:val="页脚 字符"/>
    <w:basedOn w:val="9"/>
    <w:link w:val="4"/>
    <w:uiPriority w:val="99"/>
    <w:rPr>
      <w:kern w:val="2"/>
      <w:sz w:val="18"/>
      <w:szCs w:val="18"/>
    </w:rPr>
  </w:style>
  <w:style w:type="paragraph" w:customStyle="1" w:styleId="18">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536</Words>
  <Characters>536</Characters>
  <Lines>68</Lines>
  <Paragraphs>19</Paragraphs>
  <TotalTime>12604</TotalTime>
  <ScaleCrop>false</ScaleCrop>
  <LinksUpToDate>false</LinksUpToDate>
  <CharactersWithSpaces>536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2022-01-04T09:30:00Z</dcterms:created>
  <dc:creator>304721889@qq.com</dc:creator>
  <cp:lastModifiedBy>啦啦啦</cp:lastModifiedBy>
  <dcterms:modified xsi:type="dcterms:W3CDTF">2026-09-18T02:09:54Z</dcterms:modified>
  <cp:revision>217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007DAB229FBB46D49989AE7FFEB542B8</vt:lpwstr>
  </property>
  <property fmtid="{D5CDD505-2E9C-101B-9397-08002B2CF9AE}" pid="4" name="KSOTemplateDocerSaveRecord">
    <vt:lpwstr>eyJoZGlkIjoiYTk1YTFkNzU1OTQzYmY5MDYzM2M0NDMyZTBiMDNmNDgiLCJ1c2VySWQiOiI0NjI0MzQzMDcifQ==</vt:lpwstr>
  </property>
</Properties>
</file>