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5A4C33" w:rsidTr="005A4C33">
        <w:tc>
          <w:tcPr>
            <w:tcW w:w="1838" w:type="dxa"/>
          </w:tcPr>
          <w:p w:rsidR="005A4C33" w:rsidRDefault="005A4C33">
            <w:r>
              <w:t>Symbols</w:t>
            </w:r>
          </w:p>
        </w:tc>
        <w:tc>
          <w:tcPr>
            <w:tcW w:w="7512" w:type="dxa"/>
          </w:tcPr>
          <w:p w:rsidR="005A4C33" w:rsidRDefault="005A4C33">
            <w:r>
              <w:t>Meaning</w:t>
            </w:r>
          </w:p>
        </w:tc>
      </w:tr>
      <w:tr w:rsidR="005A4C33" w:rsidTr="005A4C33">
        <w:tc>
          <w:tcPr>
            <w:tcW w:w="1838" w:type="dxa"/>
          </w:tcPr>
          <w:p w:rsidR="005A4C33" w:rsidRPr="005A4C33" w:rsidRDefault="005A4C33">
            <w:r>
              <w:t>S(</w:t>
            </w:r>
            <w:proofErr w:type="spellStart"/>
            <w:r>
              <w:t>t</w:t>
            </w:r>
            <w:r>
              <w:rPr>
                <w:vertAlign w:val="subscript"/>
              </w:rPr>
              <w:t>i</w:t>
            </w:r>
            <w:proofErr w:type="spellEnd"/>
            <w:r>
              <w:t>)</w:t>
            </w:r>
          </w:p>
        </w:tc>
        <w:tc>
          <w:tcPr>
            <w:tcW w:w="7512" w:type="dxa"/>
          </w:tcPr>
          <w:p w:rsidR="005A4C33" w:rsidRDefault="005A4C33">
            <w:r>
              <w:t>Current Period Spot Price</w:t>
            </w:r>
          </w:p>
        </w:tc>
      </w:tr>
      <w:tr w:rsidR="005A4C33" w:rsidTr="005A4C33">
        <w:tc>
          <w:tcPr>
            <w:tcW w:w="1838" w:type="dxa"/>
          </w:tcPr>
          <w:p w:rsidR="005A4C33" w:rsidRPr="005A4C33" w:rsidRDefault="005A4C33">
            <w:r>
              <w:t>S(t</w:t>
            </w:r>
            <w:r>
              <w:rPr>
                <w:vertAlign w:val="subscript"/>
              </w:rPr>
              <w:t>i+1</w:t>
            </w:r>
            <w:r>
              <w:t>)</w:t>
            </w:r>
          </w:p>
        </w:tc>
        <w:tc>
          <w:tcPr>
            <w:tcW w:w="7512" w:type="dxa"/>
          </w:tcPr>
          <w:p w:rsidR="005A4C33" w:rsidRDefault="005A4C33">
            <w:r>
              <w:t>Future Period Spot Price</w:t>
            </w:r>
          </w:p>
        </w:tc>
      </w:tr>
      <w:tr w:rsidR="005A4C33" w:rsidTr="005A4C33">
        <w:tc>
          <w:tcPr>
            <w:tcW w:w="1838" w:type="dxa"/>
          </w:tcPr>
          <w:p w:rsidR="005A4C33" w:rsidRDefault="005A4C33">
            <w:r>
              <w:t>r</w:t>
            </w:r>
          </w:p>
        </w:tc>
        <w:tc>
          <w:tcPr>
            <w:tcW w:w="7512" w:type="dxa"/>
          </w:tcPr>
          <w:p w:rsidR="005A4C33" w:rsidRDefault="005A4C33">
            <w:r>
              <w:t>The Average Drift</w:t>
            </w:r>
          </w:p>
        </w:tc>
      </w:tr>
      <w:tr w:rsidR="005A4C33" w:rsidTr="005A4C33">
        <w:tc>
          <w:tcPr>
            <w:tcW w:w="1838" w:type="dxa"/>
          </w:tcPr>
          <w:p w:rsidR="005A4C33" w:rsidRPr="005A4C33" w:rsidRDefault="005A4C33">
            <w:proofErr w:type="spellStart"/>
            <w:r>
              <w:t>q</w:t>
            </w:r>
            <w:r>
              <w:rPr>
                <w:vertAlign w:val="subscript"/>
              </w:rPr>
              <w:t>t</w:t>
            </w:r>
            <w:proofErr w:type="spellEnd"/>
          </w:p>
        </w:tc>
        <w:tc>
          <w:tcPr>
            <w:tcW w:w="7512" w:type="dxa"/>
          </w:tcPr>
          <w:p w:rsidR="005A4C33" w:rsidRPr="005A4C33" w:rsidRDefault="005A4C33">
            <w:r>
              <w:t>Current Period Convenience Yield</w:t>
            </w:r>
          </w:p>
        </w:tc>
      </w:tr>
      <w:tr w:rsidR="005A4C33" w:rsidTr="005A4C33">
        <w:tc>
          <w:tcPr>
            <w:tcW w:w="1838" w:type="dxa"/>
          </w:tcPr>
          <w:p w:rsidR="005A4C33" w:rsidRPr="005A4C33" w:rsidRDefault="005A4C33">
            <w:pPr>
              <w:rPr>
                <w:vertAlign w:val="subscript"/>
              </w:rPr>
            </w:pPr>
            <w:r>
              <w:t>q</w:t>
            </w:r>
            <w:r>
              <w:rPr>
                <w:vertAlign w:val="subscript"/>
              </w:rPr>
              <w:t>t+1</w:t>
            </w:r>
          </w:p>
        </w:tc>
        <w:tc>
          <w:tcPr>
            <w:tcW w:w="7512" w:type="dxa"/>
          </w:tcPr>
          <w:p w:rsidR="005A4C33" w:rsidRDefault="005A4C33">
            <w:r>
              <w:t>Future Period Convenience Yield</w:t>
            </w:r>
          </w:p>
        </w:tc>
      </w:tr>
      <w:tr w:rsidR="005A4C33" w:rsidTr="005A4C33">
        <w:tc>
          <w:tcPr>
            <w:tcW w:w="1838" w:type="dxa"/>
          </w:tcPr>
          <w:p w:rsidR="005A4C33" w:rsidRPr="005A4C33" w:rsidRDefault="005A4C33" w:rsidP="005A4C33">
            <w:proofErr w:type="gramStart"/>
            <w:r w:rsidRPr="005A4C33">
              <w:rPr>
                <w:lang w:val="pt-BR"/>
              </w:rPr>
              <w:t>σ</w:t>
            </w:r>
            <w:proofErr w:type="gramEnd"/>
          </w:p>
        </w:tc>
        <w:tc>
          <w:tcPr>
            <w:tcW w:w="7512" w:type="dxa"/>
          </w:tcPr>
          <w:p w:rsidR="005A4C33" w:rsidRDefault="005A4C33">
            <w:r>
              <w:t>Standard Deviation of the Commodity</w:t>
            </w:r>
          </w:p>
        </w:tc>
      </w:tr>
      <w:tr w:rsidR="005A4C33" w:rsidTr="005A4C33">
        <w:tc>
          <w:tcPr>
            <w:tcW w:w="1838" w:type="dxa"/>
          </w:tcPr>
          <w:p w:rsidR="005A4C33" w:rsidRPr="005A4C33" w:rsidRDefault="005A4C33" w:rsidP="005A4C33">
            <w:pPr>
              <w:rPr>
                <w:vertAlign w:val="subscript"/>
              </w:rPr>
            </w:pPr>
            <w:proofErr w:type="spellStart"/>
            <w:proofErr w:type="gramStart"/>
            <w:r w:rsidRPr="005A4C33">
              <w:rPr>
                <w:lang w:val="pt-BR"/>
              </w:rPr>
              <w:t>σ</w:t>
            </w:r>
            <w:proofErr w:type="gramEnd"/>
            <w:r>
              <w:rPr>
                <w:vertAlign w:val="subscript"/>
                <w:lang w:val="pt-BR"/>
              </w:rPr>
              <w:t>sy</w:t>
            </w:r>
            <w:proofErr w:type="spellEnd"/>
          </w:p>
        </w:tc>
        <w:tc>
          <w:tcPr>
            <w:tcW w:w="7512" w:type="dxa"/>
          </w:tcPr>
          <w:p w:rsidR="005A4C33" w:rsidRDefault="005A4C33">
            <w:r>
              <w:t>Correlation Between Spot Price and Convenience Yield</w:t>
            </w:r>
          </w:p>
        </w:tc>
      </w:tr>
      <w:tr w:rsidR="005A4C33" w:rsidTr="005A4C33">
        <w:tc>
          <w:tcPr>
            <w:tcW w:w="1838" w:type="dxa"/>
          </w:tcPr>
          <w:p w:rsidR="005A4C33" w:rsidRPr="005A4C33" w:rsidRDefault="005A4C33" w:rsidP="005A4C33">
            <w:pPr>
              <w:rPr>
                <w:vertAlign w:val="subscript"/>
                <w:lang w:val="pt-BR"/>
              </w:rPr>
            </w:pPr>
            <w:proofErr w:type="spellStart"/>
            <w:proofErr w:type="gramStart"/>
            <w:r>
              <w:rPr>
                <w:lang w:val="pt-BR"/>
              </w:rPr>
              <w:t>ɛ</w:t>
            </w:r>
            <w:r>
              <w:rPr>
                <w:vertAlign w:val="subscript"/>
                <w:lang w:val="pt-BR"/>
              </w:rPr>
              <w:t>i</w:t>
            </w:r>
            <w:proofErr w:type="spellEnd"/>
            <w:proofErr w:type="gramEnd"/>
          </w:p>
        </w:tc>
        <w:tc>
          <w:tcPr>
            <w:tcW w:w="7512" w:type="dxa"/>
          </w:tcPr>
          <w:p w:rsidR="005A4C33" w:rsidRDefault="008D45BD">
            <w:r>
              <w:t>Current Period Unpredictable Factors</w:t>
            </w:r>
          </w:p>
        </w:tc>
      </w:tr>
      <w:tr w:rsidR="005A4C33" w:rsidTr="005A4C33">
        <w:tc>
          <w:tcPr>
            <w:tcW w:w="1838" w:type="dxa"/>
          </w:tcPr>
          <w:p w:rsidR="005A4C33" w:rsidRPr="005A4C33" w:rsidRDefault="005A4C33" w:rsidP="005A4C3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ɛ</w:t>
            </w:r>
            <w:r>
              <w:rPr>
                <w:vertAlign w:val="subscript"/>
                <w:lang w:val="pt-BR"/>
              </w:rPr>
              <w:t>i</w:t>
            </w:r>
            <w:proofErr w:type="gramEnd"/>
            <w:r>
              <w:rPr>
                <w:vertAlign w:val="subscript"/>
                <w:lang w:val="pt-BR"/>
              </w:rPr>
              <w:t>+1</w:t>
            </w:r>
          </w:p>
        </w:tc>
        <w:tc>
          <w:tcPr>
            <w:tcW w:w="7512" w:type="dxa"/>
          </w:tcPr>
          <w:p w:rsidR="005A4C33" w:rsidRDefault="008D45BD">
            <w:r>
              <w:t>Future Period Unpredictable Factors</w:t>
            </w:r>
          </w:p>
        </w:tc>
      </w:tr>
      <w:tr w:rsidR="005A4C33" w:rsidTr="005A4C33">
        <w:tc>
          <w:tcPr>
            <w:tcW w:w="1838" w:type="dxa"/>
          </w:tcPr>
          <w:p w:rsidR="005A4C33" w:rsidRDefault="005A4C33" w:rsidP="005A4C33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α</w:t>
            </w:r>
            <w:proofErr w:type="gramEnd"/>
          </w:p>
        </w:tc>
        <w:tc>
          <w:tcPr>
            <w:tcW w:w="7512" w:type="dxa"/>
          </w:tcPr>
          <w:p w:rsidR="005A4C33" w:rsidRDefault="005A4C33">
            <w:r>
              <w:t xml:space="preserve">Mean Reversion Rate </w:t>
            </w:r>
          </w:p>
        </w:tc>
      </w:tr>
      <w:tr w:rsidR="005A4C33" w:rsidTr="005A4C33">
        <w:tc>
          <w:tcPr>
            <w:tcW w:w="1838" w:type="dxa"/>
          </w:tcPr>
          <w:p w:rsidR="005A4C33" w:rsidRDefault="008D45BD" w:rsidP="005A4C33">
            <w:pPr>
              <w:rPr>
                <w:lang w:val="pt-BR"/>
              </w:rPr>
            </w:pPr>
            <w:r w:rsidRPr="008D45BD">
              <w:rPr>
                <w:rFonts w:ascii="Cambria Math" w:hAnsi="Cambria Math" w:cs="Cambria Math"/>
                <w:lang w:val="pt-BR"/>
              </w:rPr>
              <w:t>𝑞</w:t>
            </w:r>
            <w:r w:rsidRPr="008D45BD">
              <w:rPr>
                <w:lang w:val="pt-BR"/>
              </w:rPr>
              <w:t> ̅</w:t>
            </w:r>
          </w:p>
        </w:tc>
        <w:tc>
          <w:tcPr>
            <w:tcW w:w="7512" w:type="dxa"/>
          </w:tcPr>
          <w:p w:rsidR="005A4C33" w:rsidRDefault="008D45BD">
            <w:r>
              <w:t>Mean Convenience Yield From Past Data</w:t>
            </w:r>
          </w:p>
        </w:tc>
      </w:tr>
    </w:tbl>
    <w:p w:rsidR="005A4C33" w:rsidRDefault="005A4C33"/>
    <w:p w:rsidR="005A4C33" w:rsidRDefault="005A4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24C0" w:rsidTr="001F24C0">
        <w:tc>
          <w:tcPr>
            <w:tcW w:w="3116" w:type="dxa"/>
          </w:tcPr>
          <w:p w:rsidR="001F24C0" w:rsidRPr="001F24C0" w:rsidRDefault="001F24C0" w:rsidP="001F24C0">
            <w:pPr>
              <w:ind w:firstLine="720"/>
            </w:pPr>
            <w:proofErr w:type="spellStart"/>
            <w:r w:rsidRPr="001F24C0">
              <w:rPr>
                <w:b/>
                <w:bCs/>
              </w:rPr>
              <w:t>Noranda</w:t>
            </w:r>
            <w:proofErr w:type="spellEnd"/>
            <w:r w:rsidRPr="001F24C0">
              <w:rPr>
                <w:b/>
                <w:bCs/>
              </w:rPr>
              <w:t xml:space="preserve"> Inc.</w:t>
            </w:r>
          </w:p>
          <w:p w:rsidR="001F24C0" w:rsidRDefault="001F24C0" w:rsidP="001F24C0">
            <w:pPr>
              <w:ind w:firstLine="720"/>
            </w:pPr>
          </w:p>
        </w:tc>
        <w:tc>
          <w:tcPr>
            <w:tcW w:w="3117" w:type="dxa"/>
          </w:tcPr>
          <w:p w:rsidR="001F24C0" w:rsidRPr="001F24C0" w:rsidRDefault="001F24C0" w:rsidP="001F24C0">
            <w:proofErr w:type="spellStart"/>
            <w:r w:rsidRPr="001F24C0">
              <w:t>Inmet</w:t>
            </w:r>
            <w:proofErr w:type="spellEnd"/>
            <w:r w:rsidRPr="001F24C0">
              <w:t xml:space="preserve"> Mining Corporation</w:t>
            </w:r>
          </w:p>
          <w:p w:rsidR="001F24C0" w:rsidRDefault="001F24C0" w:rsidP="001F24C0"/>
        </w:tc>
        <w:tc>
          <w:tcPr>
            <w:tcW w:w="3117" w:type="dxa"/>
          </w:tcPr>
          <w:p w:rsidR="001F24C0" w:rsidRPr="001F24C0" w:rsidRDefault="001F24C0" w:rsidP="001F24C0">
            <w:r w:rsidRPr="001F24C0">
              <w:t xml:space="preserve">Rio </w:t>
            </w:r>
            <w:proofErr w:type="spellStart"/>
            <w:r w:rsidRPr="001F24C0">
              <w:t>Algom</w:t>
            </w:r>
            <w:proofErr w:type="spellEnd"/>
            <w:r w:rsidRPr="001F24C0">
              <w:t xml:space="preserve"> Limited</w:t>
            </w:r>
          </w:p>
          <w:p w:rsidR="001F24C0" w:rsidRDefault="001F24C0" w:rsidP="001F24C0"/>
        </w:tc>
      </w:tr>
      <w:tr w:rsidR="001F24C0" w:rsidRPr="001F24C0" w:rsidTr="001F24C0">
        <w:tc>
          <w:tcPr>
            <w:tcW w:w="3116" w:type="dxa"/>
          </w:tcPr>
          <w:p w:rsidR="00000000" w:rsidRPr="001F24C0" w:rsidRDefault="00A23A66" w:rsidP="001F24C0">
            <w:r w:rsidRPr="001F24C0">
              <w:t>Based in Toronto</w:t>
            </w:r>
          </w:p>
          <w:p w:rsidR="00000000" w:rsidRPr="001F24C0" w:rsidRDefault="00A23A66" w:rsidP="001F24C0">
            <w:r w:rsidRPr="001F24C0">
              <w:t>Employed 31,000 people</w:t>
            </w:r>
          </w:p>
          <w:p w:rsidR="00000000" w:rsidRPr="001F24C0" w:rsidRDefault="00A23A66" w:rsidP="001F24C0">
            <w:r w:rsidRPr="001F24C0">
              <w:t>Mined, smelted, refined, and marketed copper, zinc, nickel, lead, silver and gold</w:t>
            </w:r>
          </w:p>
          <w:p w:rsidR="00000000" w:rsidRPr="001F24C0" w:rsidRDefault="00A23A66" w:rsidP="001F24C0">
            <w:r w:rsidRPr="001F24C0">
              <w:t>Market capitalization over $4 billion</w:t>
            </w:r>
          </w:p>
          <w:p w:rsidR="001F24C0" w:rsidRDefault="001F24C0" w:rsidP="001F24C0"/>
        </w:tc>
        <w:tc>
          <w:tcPr>
            <w:tcW w:w="3117" w:type="dxa"/>
          </w:tcPr>
          <w:p w:rsidR="00000000" w:rsidRPr="001F24C0" w:rsidRDefault="00A23A66" w:rsidP="001F24C0">
            <w:r w:rsidRPr="001F24C0">
              <w:t>Based in</w:t>
            </w:r>
            <w:r w:rsidRPr="001F24C0">
              <w:t xml:space="preserve"> Toronto</w:t>
            </w:r>
          </w:p>
          <w:p w:rsidR="00000000" w:rsidRPr="001F24C0" w:rsidRDefault="00A23A66" w:rsidP="001F24C0">
            <w:pPr>
              <w:rPr>
                <w:lang w:val="de-DE"/>
              </w:rPr>
            </w:pPr>
            <w:proofErr w:type="spellStart"/>
            <w:r w:rsidRPr="001F24C0">
              <w:rPr>
                <w:lang w:val="de-DE"/>
              </w:rPr>
              <w:t>Spun</w:t>
            </w:r>
            <w:proofErr w:type="spellEnd"/>
            <w:r w:rsidRPr="001F24C0">
              <w:rPr>
                <w:lang w:val="de-DE"/>
              </w:rPr>
              <w:t xml:space="preserve"> off </w:t>
            </w:r>
            <w:proofErr w:type="spellStart"/>
            <w:r w:rsidRPr="001F24C0">
              <w:rPr>
                <w:lang w:val="de-DE"/>
              </w:rPr>
              <w:t>by</w:t>
            </w:r>
            <w:proofErr w:type="spellEnd"/>
            <w:r w:rsidRPr="001F24C0">
              <w:rPr>
                <w:lang w:val="de-DE"/>
              </w:rPr>
              <w:t xml:space="preserve"> Metallgesellschaft AG, in 1995</w:t>
            </w:r>
          </w:p>
          <w:p w:rsidR="001F24C0" w:rsidRPr="001F24C0" w:rsidRDefault="001F24C0" w:rsidP="001F24C0">
            <w:pPr>
              <w:rPr>
                <w:lang w:val="de-DE"/>
              </w:rPr>
            </w:pPr>
          </w:p>
        </w:tc>
        <w:tc>
          <w:tcPr>
            <w:tcW w:w="3117" w:type="dxa"/>
          </w:tcPr>
          <w:p w:rsidR="00000000" w:rsidRPr="001F24C0" w:rsidRDefault="00A23A66" w:rsidP="001F24C0">
            <w:r w:rsidRPr="001F24C0">
              <w:t>Based in Toronto</w:t>
            </w:r>
          </w:p>
          <w:p w:rsidR="001F24C0" w:rsidRPr="001F24C0" w:rsidRDefault="001F24C0" w:rsidP="001F24C0">
            <w:pPr>
              <w:rPr>
                <w:lang w:val="de-DE"/>
              </w:rPr>
            </w:pPr>
          </w:p>
        </w:tc>
      </w:tr>
    </w:tbl>
    <w:p w:rsidR="005A4C33" w:rsidRPr="001F24C0" w:rsidRDefault="005A4C33">
      <w:pPr>
        <w:rPr>
          <w:lang w:val="de-DE"/>
        </w:rPr>
      </w:pPr>
    </w:p>
    <w:p w:rsidR="005A4C33" w:rsidRPr="001F24C0" w:rsidRDefault="005A4C33">
      <w:pPr>
        <w:rPr>
          <w:lang w:val="de-DE"/>
        </w:rPr>
      </w:pPr>
      <w:bookmarkStart w:id="0" w:name="_GoBack"/>
      <w:bookmarkEnd w:id="0"/>
    </w:p>
    <w:sectPr w:rsidR="005A4C33" w:rsidRPr="001F2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F1C19"/>
    <w:multiLevelType w:val="hybridMultilevel"/>
    <w:tmpl w:val="203E4F3A"/>
    <w:lvl w:ilvl="0" w:tplc="F5CC4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AF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C2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8B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CD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06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04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89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6D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D85B47"/>
    <w:multiLevelType w:val="hybridMultilevel"/>
    <w:tmpl w:val="1BE6C8B8"/>
    <w:lvl w:ilvl="0" w:tplc="BB2C1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2A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041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03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ED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486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21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7EA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A5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8E41E63"/>
    <w:multiLevelType w:val="hybridMultilevel"/>
    <w:tmpl w:val="C08420CC"/>
    <w:lvl w:ilvl="0" w:tplc="A678F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65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164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2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01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8E2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06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A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83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CA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33"/>
    <w:rsid w:val="001F24C0"/>
    <w:rsid w:val="0056460F"/>
    <w:rsid w:val="005A4C33"/>
    <w:rsid w:val="008D45BD"/>
    <w:rsid w:val="00A2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AC126-A9D5-4C57-A973-5476F554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7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8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90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MDW608 PAF</dc:creator>
  <cp:keywords/>
  <dc:description/>
  <cp:lastModifiedBy>MDW608 PAF</cp:lastModifiedBy>
  <cp:revision>1</cp:revision>
  <dcterms:created xsi:type="dcterms:W3CDTF">2015-11-24T23:34:00Z</dcterms:created>
  <dcterms:modified xsi:type="dcterms:W3CDTF">2015-11-25T03:44:00Z</dcterms:modified>
</cp:coreProperties>
</file>