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现有微流控系统的</w:t>
        <w:br/>
        <w:t>时序一致预测控制</w:t>
        <w:br/>
        <w:t>论文实施方案</w:t>
      </w:r>
    </w:p>
    <w:p>
      <w:pPr>
        <w:pStyle w:val="Subtitle"/>
        <w:widowControl/>
      </w:pPr>
      <w:r>
        <w:t>代码复核版  2026年9月6日</w:t>
      </w:r>
    </w:p>
    <w:p>
      <w:pPr>
        <w:pStyle w:val="Heading2"/>
      </w:pPr>
      <w:r>
        <w:t>建议执行的研究主线</w:t>
      </w:r>
    </w:p>
    <w:p>
      <w:pPr>
        <w:widowControl/>
      </w:pPr>
      <w:r>
        <w:t>在现有双注射泵、相机、十字流聚焦芯片和 MCS_QT 控制软件上，研究异步泵参数更新与间歇视觉采样共同造成的反馈失配。建立与指令事件和实际观测时刻一致的低阶预测模型，在安全工作区内减少目标切换的调节时间、过渡废滴和无效泵动作。</w:t>
      </w:r>
    </w:p>
    <w:p>
      <w:pPr>
        <w:widowControl/>
      </w:pPr>
      <w:r>
        <w:t>首阶段控制液滴等效直径，两路流量均可调；生成频率先用于独立评价。只有连续计数和双输出可辨识性得到验证后，才扩展直径与频率联合控制。视觉反推真实流量不再作为论文成立的前提。</w:t>
      </w:r>
    </w:p>
    <w:p>
      <w:pPr>
        <w:pStyle w:val="Heading2"/>
      </w:pPr>
      <w:r>
        <w:t>本方案可以交付什么</w:t>
      </w:r>
    </w:p>
    <w:p>
      <w:pPr>
        <w:widowControl/>
      </w:pPr>
      <w:r>
        <w:t>交付可回放的数据链、可解释的延迟模型、具有指令中间状态检查的预测控制器，以及公平的对照和消融实验。软件可以按后文接口增量实现；性能提升、跨芯片适用性和创新贡献需要真实实验支持。</w:t>
      </w:r>
    </w:p>
    <w:p>
      <w:pPr>
        <w:widowControl/>
      </w:pPr>
      <w:r>
        <w:t>当前代码基线为 sjr 分支 8c3d42b。2026年9月6日复跑项目测试得到 267 passed 和 6 subtests passed，耗时 10.76 秒。该结果证明当前自动化测试通过，不能替代相机计量或真实泵闭环验证。</w:t>
      </w:r>
    </w:p>
    <w:p>
      <w:pPr>
        <w:pStyle w:val="Heading2"/>
      </w:pPr>
      <w:r>
        <w:t>论文成立的条件</w:t>
      </w:r>
    </w:p>
    <w:p>
      <w:pPr>
        <w:widowControl/>
      </w:pPr>
      <w:r>
        <w:t>最有价值的证据是：在相同硬件、相同数据、相同任务及相同安全限制下，时序一致模型改善独立预测，且这种改善能解释实际控制与产品合格率的提升。单纯加入 MPC、改用流量比或新增数据库，均不足以独立支撑高水平论文。</w:t>
      </w:r>
    </w:p>
    <w:p>
      <w:pPr>
        <w:widowControl/>
      </w:pPr>
      <w:r>
        <w:t>研究实施可按约 12 至 16 周排程，先用一块芯片完成低成本可行性门槛，再投入多芯片正式实验。本文所有性能阈值均为建议验收目标，尚无对应实验结果。</w:t>
      </w:r>
    </w:p>
    <w:p>
      <w:pPr>
        <w:pStyle w:val="Heading1"/>
        <w:pageBreakBefore/>
      </w:pPr>
      <w:r>
        <w:t>一  当前代码证据与可实施范围</w:t>
      </w:r>
    </w:p>
    <w:p>
      <w:pPr>
        <w:widowControl/>
      </w:pPr>
      <w:r>
        <w:t>以下路径相对于项目根目录 E:/MCS_QT，行号对应本次核验提交。项目已具备基本闭环、标定和安全设施；预测控制策略及本文新增数据契约仍需实现。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0"/>
        <w:gridCol w:w="3610"/>
        <w:gridCol w:w="4332"/>
      </w:tblGrid>
      <w:tr>
        <w:trPr>
          <w:cantSplit/>
          <w:tblHeader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已有能力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代码证据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可以复用的范围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生成区尺寸测量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backend/vision/detector.py 第360行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塞长与 H×W 几何换算等效球径；需独立核验几何和体积修正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视觉时间与过线事件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backend/orchestrator/vision_adapter.py 第1290行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采集单调时间、过线轨迹和帧号，可追溯到单次观测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五帧批处理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同文件第1803行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无积压设计可保留；忙时跳帧使全周期频率存在漏计风险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速度与频率显示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同文件第1549行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五帧速度与一秒间隔频率已有实现，尚非计量合格的流量反馈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动态标定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backend/pid_control/calibration.py</w:t>
              <w:br/>
              <w:t>calibration_experiment.py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schema v3、阶跃、共享 FOPDT、独立验证，可作为起点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标定 PI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backend/pid_control/diameter_pid.py 第50行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已有工作点接管、误差反馈和限幅，可作为强对照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串行双泵更新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backend/pump_hardware/service.py 第1036行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Q1 写入验证后再写 Q2；事务失败先停机再回滚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控制周期和入口</w:t>
            </w:r>
          </w:p>
        </w:tc>
        <w:tc>
          <w:tcPr>
            <w:tcW w:type="dxa" w:w="3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backend/orchestrator/config.py 第7行</w:t>
              <w:br/>
              <w:t>service.py 第3320行</w:t>
            </w:r>
          </w:p>
        </w:tc>
        <w:tc>
          <w:tcPr>
            <w:tcW w:type="dxa" w:w="43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最短配置周期 7500 ms；当前策略仍直接调用 PI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t>明确的工程结论</w:t>
      </w:r>
    </w:p>
    <w:p>
      <w:pPr>
        <w:widowControl/>
      </w:pPr>
      <w:r>
        <w:t>工作点标定与逆模型、时间戳记录、低阶输出预测器、策略路由和安全降级都有现成接入位置。改造规模可控，但必须补充相应集成测试。7.5 秒是当前软件与泵链路的约束；上一版“约6秒事务”应作为待实测的估计，不能写成已测硬件指标。</w:t>
      </w:r>
    </w:p>
    <w:p>
      <w:pPr>
        <w:pStyle w:val="Heading1"/>
        <w:pageBreakBefore/>
      </w:pPr>
      <w:r>
        <w:t>二  对上一版方案的关键修正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0"/>
        <w:gridCol w:w="3950"/>
        <w:gridCol w:w="3422"/>
      </w:tblGrid>
      <w:tr>
        <w:trPr>
          <w:cantSplit/>
          <w:tblHeader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原先的风险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本次修正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对论文的影响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观察过线数除以整个周期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先记录采样覆盖和连续片段；连续计数验证后才输出物理频率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避免漏计导致虚假频率和虚假流量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体积乘频率被当作独立观测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仅作派生诊断；与直径共同滤波时处理相关性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消除重复利用同一视觉信息的问题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速度乘面积直接估总流量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移至可选探索实验，不进入核心控制状态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避免滑移、液膜与采样偏差拖垮主线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用称量验证瞬态入口流量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称量仅验证稳态均值；瞬态流量需要独立动态参考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不将稳态准确等同于瞬态可观测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流量比坐标一定节省样本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与同复杂度模型做留出比较，仅通过才报告优势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可逆坐标变换本身不构成新信息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双输出 MPC 对比单直径 PI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主实验统一为同一直径任务；双输出另设双环对照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避免把额外控制目标当算法优势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终点合法即可下泵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检查编码后的起点、中间点和终点，并预测动态路径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针对串行双泵的具体风险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固定预测时域最多12步</w:t>
            </w:r>
          </w:p>
        </w:tc>
        <w:tc>
          <w:tcPr>
            <w:tcW w:type="dxa" w:w="39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时域必须覆盖延迟和主要动态；算力不足则降级</w:t>
            </w:r>
          </w:p>
        </w:tc>
        <w:tc>
          <w:tcPr>
            <w:tcW w:type="dxa" w:w="3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避免预测尚未看到输入效果便结束</w:t>
            </w:r>
          </w:p>
        </w:tc>
      </w:tr>
    </w:tbl>
    <w:p>
      <w:pPr>
        <w:widowControl/>
        <w:spacing w:after="20"/>
      </w:pPr>
    </w:p>
    <w:p>
      <w:pPr>
        <w:pStyle w:val="Heading1"/>
        <w:pageBreakBefore/>
      </w:pPr>
      <w:r>
        <w:t>三  文献边界与拟验证的贡献</w:t>
      </w:r>
    </w:p>
    <w:p>
      <w:pPr>
        <w:widowControl/>
      </w:pPr>
      <w:r>
        <w:t>图像闭环、液滴预测控制和机器学习逆向设计均已有先例。研究必须回答当前装置中的新问题，而不是重新命名常用方法。以下比较依据可访问的论文正文或作者摘要，检索日期为2026年9月6日。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0"/>
        <w:gridCol w:w="3620"/>
        <w:gridCol w:w="3792"/>
      </w:tblGrid>
      <w:tr>
        <w:trPr>
          <w:cantSplit/>
          <w:tblHeader/>
        </w:trPr>
        <w:tc>
          <w:tcPr>
            <w:tcW w:type="dxa" w:w="23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代表文献</w:t>
            </w:r>
          </w:p>
        </w:tc>
        <w:tc>
          <w:tcPr>
            <w:tcW w:type="dxa" w:w="3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已有证据</w:t>
            </w:r>
          </w:p>
        </w:tc>
        <w:tc>
          <w:tcPr>
            <w:tcW w:type="dxa" w:w="3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本项目拟增加的证据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Crawford 等 2017 [1]</w:t>
            </w:r>
          </w:p>
        </w:tc>
        <w:tc>
          <w:tcPr>
            <w:tcW w:type="dxa" w:w="3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图像与压力泵闭环，扩展到尺寸和频率控制</w:t>
            </w:r>
          </w:p>
        </w:tc>
        <w:tc>
          <w:tcPr>
            <w:tcW w:type="dxa" w:w="3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慢注射泵与间歇视觉条件下的动态优化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Moscato 等 2024 [2]</w:t>
            </w:r>
          </w:p>
        </w:tc>
        <w:tc>
          <w:tcPr>
            <w:tcW w:type="dxa" w:w="3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数据辨识及约束 MPC 控制两相流间歇性</w:t>
            </w:r>
          </w:p>
        </w:tc>
        <w:tc>
          <w:tcPr>
            <w:tcW w:type="dxa" w:w="3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逐泵命令区间、观测窗口与控制收益的关联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Vicente Martínez 等 2024 [3]</w:t>
            </w:r>
          </w:p>
        </w:tc>
        <w:tc>
          <w:tcPr>
            <w:tcW w:type="dxa" w:w="3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微流控动态建模与流量预测控制</w:t>
            </w:r>
          </w:p>
        </w:tc>
        <w:tc>
          <w:tcPr>
            <w:tcW w:type="dxa" w:w="3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直接对液滴输出建模，降低对入口流量真值的依赖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Lashkaripour 等 2024 [4]</w:t>
            </w:r>
          </w:p>
        </w:tc>
        <w:tc>
          <w:tcPr>
            <w:tcW w:type="dxa" w:w="3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单乳液和双乳液的机器学习设计及逆向预测</w:t>
            </w:r>
          </w:p>
        </w:tc>
        <w:tc>
          <w:tcPr>
            <w:tcW w:type="dxa" w:w="3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已有芯片的动态转换及跨运行验证</w:t>
            </w:r>
          </w:p>
        </w:tc>
      </w:tr>
      <w:tr>
        <w:trPr>
          <w:cantSplit/>
        </w:trPr>
        <w:tc>
          <w:tcPr>
            <w:tcW w:type="dxa" w:w="23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Garstecki 等 2006 [5]</w:t>
            </w:r>
          </w:p>
        </w:tc>
        <w:tc>
          <w:tcPr>
            <w:tcW w:type="dxa" w:w="3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T形结低毛细数条件的液滴破裂尺度关系</w:t>
            </w:r>
          </w:p>
        </w:tc>
        <w:tc>
          <w:tcPr>
            <w:tcW w:type="dxa" w:w="37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当前十字芯片独立标定，保留物理坐标而非套用系数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t>贡献一  指令与观测的时序一致模型</w:t>
      </w:r>
    </w:p>
    <w:p>
      <w:pPr>
        <w:widowControl/>
      </w:pPr>
      <w:r>
        <w:t>将两路泵的各次发送及验证区间展开成分段输入，模型在实际视觉采样时刻产生预测，再按与测量相同的统计规则聚合。用等参数量、等数据量的二乘二消融，检验指令时间与测量窗口各自及交互作用。</w:t>
      </w:r>
    </w:p>
    <w:p>
      <w:pPr>
        <w:pStyle w:val="Heading2"/>
      </w:pPr>
      <w:r>
        <w:t>贡献二  面向串行双泵的可执行约束控制</w:t>
      </w:r>
    </w:p>
    <w:p>
      <w:pPr>
        <w:widowControl/>
      </w:pPr>
      <w:r>
        <w:t>预测器考虑旧命令尚未完全生效，控制器只优化可经现有泵服务执行的指令。对编码后的串行中间状态给出可检查条件，并研究在硬件限制下如何减少无效更新和过渡不合格液滴。该约束层对全部基线同样生效。</w:t>
      </w:r>
    </w:p>
    <w:p>
      <w:pPr>
        <w:pStyle w:val="Heading2"/>
      </w:pPr>
      <w:r>
        <w:t>贡献三  可重复的适用条件和失效边界</w:t>
      </w:r>
    </w:p>
    <w:p>
      <w:pPr>
        <w:widowControl/>
      </w:pPr>
      <w:r>
        <w:t>通过芯片、管路和采样覆盖条件的独立测试，给出方法何时优于常规预测补偿、何时不值得增加复杂度。没有穷尽性新颖性检索或实验前，不使用“首次”“普适”“保证鲁棒”等表述。</w:t>
      </w:r>
    </w:p>
    <w:p>
      <w:pPr>
        <w:pStyle w:val="Heading1"/>
        <w:pageBreakBefore/>
      </w:pPr>
      <w:r>
        <w:t>四  首先建立可信的视觉计量</w:t>
      </w:r>
    </w:p>
    <w:p>
      <w:pPr>
        <w:pStyle w:val="Heading2"/>
      </w:pPr>
      <w:r>
        <w:t>当前需要修正的统计语义</w:t>
      </w:r>
    </w:p>
    <w:p>
      <w:pPr>
        <w:widowControl/>
      </w:pPr>
      <w:r>
        <w:t>vision_adapter.py 在忙时跳过整批分析帧，并在帧号不连续时重置运动窗口。即使相机采集连续，识别过线事件也可能不完整。当前一秒间隔频率还会略去同帧多滴产生的零间隔。因而直接延长统计周期不能自动消除偏差。</w:t>
      </w:r>
    </w:p>
    <w:p>
      <w:pPr>
        <w:widowControl/>
      </w:pPr>
      <w:r>
        <w:t>新增采集帧数、处理帧数、连续片段、最长盲区、重复帧与缺失事件标记。全周期帧覆盖率只能描述采样，不等于过线召回率；应从连续原始录像离线逐帧标注得到过线真值。所有控制器使用同一测量输入与质检规则。</w:t>
      </w:r>
    </w:p>
    <w:p>
      <w:pPr>
        <w:pStyle w:val="Heading2"/>
      </w:pPr>
      <w:r>
        <w:t>最小计量实验</w:t>
      </w:r>
    </w:p>
    <w:p>
      <w:pPr>
        <w:widowControl/>
      </w:pPr>
      <w:r>
        <w:t>在小、中、大尺寸及一个高频工作点，各录制3段独立连续视频，每段不少于100个可辨认液滴。共12段、至少1200滴，由盲法人工标注10%以上样本并双人复核有争议帧。另保留整段逐帧过线计数作为频率参考。</w:t>
      </w:r>
    </w:p>
    <w:p>
      <w:pPr>
        <w:widowControl/>
      </w:pPr>
      <w:r>
        <w:t>尺寸报告塞长误差与等效直径误差，H、W 和比例尺分别记录来源。几何换算得到的等效球径不能直接称三维实测体积；若只有二维长度真值，主结果以长度及几何等效直径报告。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20"/>
        <w:gridCol w:w="4510"/>
        <w:gridCol w:w="3062"/>
      </w:tblGrid>
      <w:tr>
        <w:trPr>
          <w:cantSplit/>
          <w:tblHeader/>
        </w:trPr>
        <w:tc>
          <w:tcPr>
            <w:tcW w:type="dxa" w:w="22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建议验收项目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进入控制的条件</w:t>
            </w:r>
          </w:p>
        </w:tc>
        <w:tc>
          <w:tcPr>
            <w:tcW w:type="dxa" w:w="30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失败时处理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尺寸误差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盲测中位相对误差≤3%；95分位≤5%</w:t>
            </w:r>
          </w:p>
        </w:tc>
        <w:tc>
          <w:tcPr>
            <w:tcW w:type="dxa" w:w="30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调整成像与标定；误差大于任务容差时停止优化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频率与计数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独立视频计数误差≤5%，逐事件召回率≥95%</w:t>
            </w:r>
          </w:p>
        </w:tc>
        <w:tc>
          <w:tcPr>
            <w:tcW w:type="dxa" w:w="30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禁用频率控制及流量软测量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采样偏倚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按处理与未处理时段对比尺寸分布和相位</w:t>
            </w:r>
          </w:p>
        </w:tc>
        <w:tc>
          <w:tcPr>
            <w:tcW w:type="dxa" w:w="30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缩小ROI或简化识别，必要时增加离线评价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时间记录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单调时钟，无倒序；硬件时钟映射可追溯</w:t>
            </w:r>
          </w:p>
        </w:tc>
        <w:tc>
          <w:tcPr>
            <w:tcW w:type="dxa" w:w="30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仅使用已校准的主机采集时间和误差区间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阈值是先导验收建议。曝光模糊按“速度×曝光时间”与像素尺度检查；不能仅以标称相机帧率宣称可捕获每个液滴。若装置无法保存连续视频，绝对废滴数和产率暂不作为主要终点。</w:t>
      </w:r>
    </w:p>
    <w:p>
      <w:pPr>
        <w:pStyle w:val="Heading1"/>
        <w:pageBreakBefore/>
      </w:pPr>
      <w:r>
        <w:t>五  五天先导实验与继续条件</w:t>
      </w:r>
    </w:p>
    <w:p>
      <w:pPr>
        <w:widowControl/>
      </w:pPr>
      <w:r>
        <w:t>先导试验仅使用一块当前芯片，预留低成本、可退出的路径。以下五天为操作顺序与工作量估计，硬件计量未通过时顺延，不带着错误测量进入下一阶段。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0"/>
        <w:gridCol w:w="4610"/>
        <w:gridCol w:w="3782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具体执行</w:t>
            </w:r>
          </w:p>
        </w:tc>
        <w:tc>
          <w:tcPr>
            <w:tcW w:type="dxa" w:w="378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必须得到的证据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第1天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核对几何、液体配方、泵流量定义；完成连续视频采集及时间日志</w:t>
            </w:r>
          </w:p>
        </w:tc>
        <w:tc>
          <w:tcPr>
            <w:tcW w:type="dxa" w:w="378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芯片上下文和独立视频真值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第2天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复核12段视频；测尺寸偏差、漏计与盲区</w:t>
            </w:r>
          </w:p>
        </w:tc>
        <w:tc>
          <w:tcPr>
            <w:tcW w:type="dxa" w:w="378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确定可控尺寸范围及频率是否可用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第3天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中心点附近 Q1 与 Q2 各做正负小阶跃，每类重复3次，共12个阶跃</w:t>
            </w:r>
          </w:p>
        </w:tc>
        <w:tc>
          <w:tcPr>
            <w:tcW w:type="dxa" w:w="378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响应符号、延迟范围、稳定性及事务时间分布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第4天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用前2次重复拟合，最后1次整段留出；比较常规与时序一致预测</w:t>
            </w:r>
          </w:p>
        </w:tc>
        <w:tc>
          <w:tcPr>
            <w:tcW w:type="dxa" w:w="378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预测误差、参数区间和时间影响大小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第5天</w:t>
            </w:r>
          </w:p>
        </w:tc>
        <w:tc>
          <w:tcPr>
            <w:tcW w:type="dxa" w:w="46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完成约束例子回放与影子求解；估算正式实验耗时</w:t>
            </w:r>
          </w:p>
        </w:tc>
        <w:tc>
          <w:tcPr>
            <w:tcW w:type="dxa" w:w="378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继续主线、缩小为单输出、或先修硬件的决定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t>阶跃必须等到物理响应能够出现</w:t>
      </w:r>
    </w:p>
    <w:p>
      <w:pPr>
        <w:widowControl/>
      </w:pPr>
      <w:r>
        <w:t>当前 calibration_experiment.py 默认 response_observation_limit 为30，service.py 的低响应分支可在达到样本数后结束。新增最短物理观察时长及独立最大试验时长；在未知延迟时先观察较长安全阶跃，逐步估计上界。不得以短时没有变化认定通道没有作用。</w:t>
      </w:r>
    </w:p>
    <w:p>
      <w:pPr>
        <w:widowControl/>
      </w:pPr>
      <w:r>
        <w:t>每个平台持续到超过估计延迟加3倍时间常数，并获得至少50个新观测；独立验证和稳态取样优先等待4至5倍时间常数。超过试验上限只标记“响应未充分观察”，不得偷偷删除或作为零增益拟合。</w:t>
      </w:r>
    </w:p>
    <w:p>
      <w:pPr>
        <w:pStyle w:val="Heading2"/>
      </w:pPr>
      <w:r>
        <w:t>继续主线的判断</w:t>
      </w:r>
    </w:p>
    <w:p>
      <w:pPr>
        <w:widowControl/>
      </w:pPr>
      <w:r>
        <w:t>若尺寸计量通过，独立阶跃存在可重复响应，且模型有可接受的留出预测，可进入控制开发。若延迟基本恒定且常规模型已经解释观测，则把时序创新暂时降级，先用强基线确认性能空间。若泵实际事务长期超过期望周期，先降低控制更新频率并重新设计任务跨度。</w:t>
      </w:r>
    </w:p>
    <w:p>
      <w:pPr>
        <w:pStyle w:val="Heading1"/>
        <w:pageBreakBefore/>
      </w:pPr>
      <w:r>
        <w:t>六  当前十字芯片的工作点模型</w:t>
      </w:r>
    </w:p>
    <w:p>
      <w:pPr>
        <w:widowControl/>
      </w:pPr>
      <w:r>
        <w:t>约定 Q1 为连续相总输入流量，Q2 为分散相输入流量，单位均为 μL/min。若油路分成左右两个入口，Q1 代表分流前总量；必须由实物管路确认，不能将单侧流量误当总量。定义流量比 r 与总流量 S。</w:t>
      </w:r>
    </w:p>
    <w:p>
      <w:pPr>
        <w:spacing w:before="80" w:after="180"/>
        <w:jc w:val="center"/>
      </w:pPr>
      <m:oMathPara>
        <m:oMath>
          <m:r>
            <m:t>r = </m:t>
          </m:r>
          <m:f>
            <m:num>
              <m:r>
                <m:t>Q2</m:t>
              </m:r>
            </m:num>
            <m:den>
              <m:r>
                <m:t>Q1</m:t>
              </m:r>
            </m:den>
          </m:f>
          <m:r>
            <m:t>     S = Q1 + Q2</m:t>
          </m:r>
        </m:oMath>
      </m:oMathPara>
    </w:p>
    <w:p>
      <w:pPr>
        <w:spacing w:before="80" w:after="180"/>
        <w:jc w:val="center"/>
      </w:pPr>
      <m:oMathPara>
        <m:oMath>
          <m:r>
            <m:t>Q1 = </m:t>
          </m:r>
          <m:f>
            <m:num>
              <m:r>
                <m:t>S</m:t>
              </m:r>
            </m:num>
            <m:den>
              <m:r>
                <m:t>1 + r</m:t>
              </m:r>
            </m:den>
          </m:f>
          <m:r>
            <m:t>     Q2 = </m:t>
          </m:r>
          <m:f>
            <m:num>
              <m:r>
                <m:t>rS</m:t>
              </m:r>
            </m:num>
            <m:den>
              <m:r>
                <m:t>1 + r</m:t>
              </m:r>
            </m:den>
          </m:f>
        </m:oMath>
      </m:oMathPara>
    </w:p>
    <w:p>
      <w:pPr>
        <w:pStyle w:val="Heading2"/>
      </w:pPr>
      <w:r>
        <w:t>样本设计</w:t>
      </w:r>
    </w:p>
    <w:p>
      <w:pPr>
        <w:widowControl/>
      </w:pPr>
      <w:r>
        <w:t>以当前 BO 或人工验证的中心点为起点。每个上下文先做3个相对流量比水平0.9、1.0、1.1，与3个总流量水平0.9、1.0、1.1交叉，共9点；另做3次中心重复和5个不重合的留出验证点，共17批。边界不允许的点必须替换为域内点，不能裁剪后当作多个不同样本。</w:t>
      </w:r>
    </w:p>
    <w:p>
      <w:pPr>
        <w:widowControl/>
      </w:pPr>
      <w:r>
        <w:t>每批同时满足物理等待与样本数条件。批次顺序分块随机，定期返回中心；所有移动通过变化率、量程、总流量、两相间隔与串行中间状态检查。首版只覆盖已验证的稳定塞状或液滴工作区。</w:t>
      </w:r>
    </w:p>
    <w:p>
      <w:pPr>
        <w:pStyle w:val="Heading2"/>
      </w:pPr>
      <w:r>
        <w:t>模型与逆向推荐</w:t>
      </w:r>
    </w:p>
    <w:p>
      <w:pPr>
        <w:widowControl/>
      </w:pPr>
      <w:r>
        <w:t>先比较对数坐标的线性岭回归和含交叉项的二次响应面，通过整批留出选择复杂度。对数变换前剔除无效记录并保留拒绝原因。采用含截距模型，不能假定中心样本无噪声；r 与 S 的尺度以训练集固定参考值归一化。</w:t>
      </w:r>
    </w:p>
    <w:p>
      <w:pPr>
        <w:widowControl/>
      </w:pPr>
      <w:r>
        <w:t>同时比较相同自由度的原始流量模型和对数流量模型。r与S是可逆参数化，没有额外信息；只有实际留出误差或较少校准样本的优势才可形成结论。</w:t>
      </w:r>
    </w:p>
    <w:p>
      <w:pPr>
        <w:widowControl/>
      </w:pPr>
      <w:r>
        <w:t>逆向推荐在验证域内网格评分即可实现。首版只给目标直径，频率不合格时不纳入优化；以命令移动量和偏离中心的程度打破多解。前馈沿安全斜坡接近工作点后由闭环修正，不允许反复每周期重新跳到逆解。</w:t>
      </w:r>
    </w:p>
    <w:p>
      <w:pPr>
        <w:pStyle w:val="Heading2"/>
      </w:pPr>
      <w:r>
        <w:t>存储和迁移</w:t>
      </w:r>
    </w:p>
    <w:p>
      <w:pPr>
        <w:widowControl/>
      </w:pPr>
      <w:r>
        <w:t>按芯片ID、几何、液体配方、表面活性剂、温度、管长与泵配置存储模型。不同芯片先各自标定；跨芯片共享模型属于独立实验，必须完整留出测试芯片。模型训练完成后显式验证和启用，不能直接获得硬件控制权。</w:t>
      </w:r>
    </w:p>
    <w:p>
      <w:pPr>
        <w:pStyle w:val="Heading1"/>
        <w:pageBreakBefore/>
      </w:pPr>
      <w:r>
        <w:t>七  可辨识的低阶输出动态模型</w:t>
      </w:r>
    </w:p>
    <w:p>
      <w:pPr>
        <w:widowControl/>
      </w:pPr>
      <w:r>
        <w:t>首版选择两输入单输出模型，直接预测对数直径。状态只解释各输入对尺寸的动态贡献，避免把仅从同一尺寸信号推断的多个状态命名为真实两路流量。每条通道使用一阶惯性和非负纯延迟；从单通道阶跃开始辨识。</w:t>
      </w:r>
    </w:p>
    <w:p>
      <w:pPr>
        <w:spacing w:before="80" w:after="180"/>
        <w:jc w:val="center"/>
      </w:pPr>
      <m:oMathPara>
        <m:oMath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(t + Δt) = 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(t) + (1 − 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)</m:t>
          </m:r>
          <m:sSub>
            <m:e>
              <m:r>
                <m:t>g</m:t>
              </m:r>
            </m:e>
            <m:sub>
              <m:r>
                <m:t>j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(t − 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t>)</m:t>
          </m:r>
        </m:oMath>
      </m:oMathPara>
    </w:p>
    <w:p>
      <w:pPr>
        <w:spacing w:before="80" w:after="180"/>
        <w:jc w:val="center"/>
      </w:pPr>
      <m:oMathPara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 = exp(−Δt / </m:t>
          </m:r>
          <m:sSub>
            <m:e>
              <m:r>
                <m:t>τ</m:t>
              </m:r>
            </m:e>
            <m:sub>
              <m:r>
                <m:t>j</m:t>
              </m:r>
            </m:sub>
          </m:sSub>
          <m:r>
            <m:t>)     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 = ln(</m:t>
          </m:r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t> / </m:t>
          </m:r>
          <m:sSub>
            <m:e>
              <m:r>
                <m:t>Q</m:t>
              </m:r>
            </m:e>
            <m:sub>
              <m:r>
                <m:t>j0</m:t>
              </m:r>
            </m:sub>
          </m:sSub>
          <m:r>
            <m:t>)</m:t>
          </m:r>
        </m:oMath>
      </m:oMathPara>
    </w:p>
    <w:p>
      <w:pPr>
        <w:spacing w:before="80" w:after="180"/>
        <w:jc w:val="center"/>
      </w:pPr>
      <m:oMathPara>
        <m:oMath>
          <m:r>
            <m:t>ŷ(t) = 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t> + 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t>(t) + 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t>(t)     y = ln(d / 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t>)</m:t>
          </m:r>
        </m:oMath>
      </m:oMathPara>
    </w:p>
    <w:p>
      <w:pPr>
        <w:widowControl/>
      </w:pPr>
      <w:r>
        <w:t>g 为局部增益，τ 为时间常数，θ 为从定义的命令时刻到观测输出的有效延迟。每次遇到指令或采集事件，按实际 Δt 精确传播；共享延迟和时间常数是更简单的候选模型，只有独立验证支持时才增加逐通道参数。</w:t>
      </w:r>
    </w:p>
    <w:p>
      <w:pPr>
        <w:pStyle w:val="Heading2"/>
      </w:pPr>
      <w:r>
        <w:t>参数辨识与可辨识性</w:t>
      </w:r>
    </w:p>
    <w:p>
      <w:pPr>
        <w:widowControl/>
      </w:pPr>
      <w:r>
        <w:t>离线用有界非线性最小二乘或延迟网格加线性回归拟合。增益符号来自实测，τ为正、θ非负；训练、选择与验证按整条动态序列分离。两路输入分别激励，再用组合阶跃验证，不能仅沿一个流量比方向采集。</w:t>
      </w:r>
    </w:p>
    <w:p>
      <w:pPr>
        <w:widowControl/>
      </w:pPr>
      <w:r>
        <w:t>若两个通道响应相近导致参数区间宽，但合成输出预测稳定，可保留合成输出模型；不能宣称分别辨识了两路芯片流量。在线首版冻结增益、τ和θ，只在稳定且质检通过时缓慢修正输出偏置，并设幅值限制。</w:t>
      </w:r>
    </w:p>
    <w:p>
      <w:pPr>
        <w:pStyle w:val="Heading2"/>
      </w:pPr>
      <w:r>
        <w:t>模型不确定度</w:t>
      </w:r>
    </w:p>
    <w:p>
      <w:pPr>
        <w:widowControl/>
      </w:pPr>
      <w:r>
        <w:t>用按试验段重采样或剖面拟合得到少量候选模型，覆盖辨识得到的延迟和增益范围。候选数量先控制在3至5个；用独立数据校准预测区间。持续残差超出验证范围时冻结适应并退回 PI，不能同时放开所有参数使模型追逐测量噪声。</w:t>
      </w:r>
    </w:p>
    <w:p>
      <w:pPr>
        <w:widowControl/>
      </w:pPr>
      <w:r>
        <w:t>纯延迟、管路柔顺性与液滴传播并非同一物理机制。未测压力或流量时不能把拟合的延迟唯一归因于软管；L/U 只可能描述观测区运输的一部分，不能替代泵到生成区的响应辨识。</w:t>
      </w:r>
    </w:p>
    <w:p>
      <w:pPr>
        <w:pStyle w:val="Heading1"/>
        <w:pageBreakBefore/>
      </w:pPr>
      <w:r>
        <w:t>八  论文核心的时序一致观测与预测</w:t>
      </w:r>
    </w:p>
    <w:p>
      <w:pPr>
        <w:pStyle w:val="Heading2"/>
      </w:pPr>
      <w:r>
        <w:t>逐通道命令事件</w:t>
      </w:r>
    </w:p>
    <w:p>
      <w:pPr>
        <w:widowControl/>
      </w:pPr>
      <w:r>
        <w:t>为每次 Q1 和 Q2 写入分别记录开始发送、发送完成、收到应答、验证完成、尝试序号及编码后流量。设备没有提供真实生效时刻时，使用保守的生效时间区间，并通过响应试验评估其合理性。回读成功证明参数验证，不能证明瞬时流量已经改变。</w:t>
      </w:r>
    </w:p>
    <w:p>
      <w:pPr>
        <w:widowControl/>
      </w:pPr>
      <w:r>
        <w:t>先验区间与泵到视觉的有效延迟要分清定义，避免重复计算。比较模型必须使用同一个命令时刻约定；固定时间偏差可以被常规延迟参数吸收，因此验证要同时覆盖事务波动和视觉窗口变化。</w:t>
      </w:r>
    </w:p>
    <w:p>
      <w:pPr>
        <w:pStyle w:val="Heading2"/>
      </w:pPr>
      <w:r>
        <w:t>模型必须预测相同的测量量</w:t>
      </w:r>
    </w:p>
    <w:p>
      <w:pPr>
        <w:widowControl/>
      </w:pPr>
      <w:r>
        <w:t>假定一个控制观测由 n 个独立过线液滴的对数直径平均得到，则模型在这些液滴的实际采集时刻预测，再使用相同权重平均。若继续用直径算术平均，则先把预测恢复为直径再求平均，不能混用平均对数和对数平均。</w:t>
      </w:r>
    </w:p>
    <w:p>
      <w:pPr>
        <w:spacing w:before="80" w:after="180"/>
        <w:jc w:val="center"/>
      </w:pPr>
      <m:oMathPara>
        <m:oMath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t> = 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  <m:r>
            <m:t> ∑ ln(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t> / 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t>)</m:t>
          </m:r>
        </m:oMath>
      </m:oMathPara>
    </w:p>
    <w:p>
      <w:pPr>
        <w:spacing w:before="80" w:after="180"/>
        <w:jc w:val="center"/>
      </w:pPr>
      <m:oMathPara>
        <m:oMath>
          <m:sSub>
            <m:e>
              <m:r>
                <m:t>ŷ</m:t>
              </m:r>
            </m:e>
            <m:sub>
              <m:r>
                <m:t>k</m:t>
              </m:r>
            </m:sub>
          </m:sSub>
          <m:r>
            <m:t> = 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  <m:r>
            <m:t> ∑ ŷ(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</w:p>
    <w:p>
      <w:pPr>
        <w:widowControl/>
      </w:pPr>
      <w:r>
        <w:t>图像质量筛选规则应在先导阶段冻结，且不能按“距离目标太远”删掉液滴。事件窗口保存全部采样时刻、权重和无效原因。通过实际观测时刻对齐可避免把间歇抽样当作连续整窗平均，但无法恢复未观察到的尺寸变化。</w:t>
      </w:r>
    </w:p>
    <w:p>
      <w:pPr>
        <w:pStyle w:val="Heading2"/>
      </w:pPr>
      <w:r>
        <w:t>最关键的消融与反例</w:t>
      </w:r>
    </w:p>
    <w:p>
      <w:pPr>
        <w:widowControl/>
      </w:pPr>
      <w:r>
        <w:t>离线保持相同模型参数量、相同训练序列和优化预算，交叉比较指令处理的“整次事务同步输入或逐泵事件输入”，以及观测处理的“窗口终点瞬时值或实际采样时刻聚合”。形成四种组合，报告主效应与交互作用。</w:t>
      </w:r>
    </w:p>
    <w:p>
      <w:pPr>
        <w:widowControl/>
      </w:pPr>
      <w:r>
        <w:t>负对照采用物理上可解释的错位：整体移动时间轴、使用匹配长度的另一批命令时序，或在允许范围内扰动间隔。完全打乱样本顺序会改变动力学，不能单靠这种破坏性负对照证明因果。若自然条件中没有收益，应报告适用范围，不能只在刻意加大延迟的实验上宣称普遍优势。</w:t>
      </w:r>
    </w:p>
    <w:p>
      <w:pPr>
        <w:pStyle w:val="Heading1"/>
        <w:pageBreakBefore/>
      </w:pPr>
      <w:r>
        <w:t>九  串行中间状态与实际命令约束</w:t>
      </w:r>
    </w:p>
    <w:p>
      <w:pPr>
        <w:widowControl/>
      </w:pPr>
      <w:r>
        <w:t>泵服务固定先更新 Q1，再更新 Q2。最终目标合法并不保证更新过程中合法；该问题可以直接由现有代码结构推导，无需等待实验发现。以下流量均在单泵量程内。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70"/>
        <w:gridCol w:w="1100"/>
        <w:gridCol w:w="1100"/>
        <w:gridCol w:w="3722"/>
      </w:tblGrid>
      <w:tr>
        <w:trPr>
          <w:cantSplit/>
          <w:tblHeader/>
        </w:trPr>
        <w:tc>
          <w:tcPr>
            <w:tcW w:type="dxa" w:w="38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Q2</w:t>
            </w:r>
          </w:p>
        </w:tc>
        <w:tc>
          <w:tcPr>
            <w:tcW w:type="dxa" w:w="3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检查结果</w:t>
            </w:r>
          </w:p>
        </w:tc>
      </w:tr>
      <w:tr>
        <w:trPr>
          <w:cantSplit/>
        </w:trPr>
        <w:tc>
          <w:tcPr>
            <w:tcW w:type="dxa" w:w="38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初始状态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Q1大于Q2，可满足现有相间隔</w:t>
            </w:r>
          </w:p>
        </w:tc>
      </w:tr>
      <w:tr>
        <w:trPr>
          <w:cantSplit/>
        </w:trPr>
        <w:tc>
          <w:tcPr>
            <w:tcW w:type="dxa" w:w="38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拟定终点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Q1大于Q2，终点合法</w:t>
            </w:r>
          </w:p>
        </w:tc>
      </w:tr>
      <w:tr>
        <w:trPr>
          <w:cantSplit/>
        </w:trPr>
        <w:tc>
          <w:tcPr>
            <w:tcW w:type="dxa" w:w="38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先写Q1后的中间状态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Q1小于Q2，必须拒绝该直接转换</w:t>
            </w:r>
          </w:p>
        </w:tc>
      </w:tr>
      <w:tr>
        <w:trPr>
          <w:cantSplit/>
        </w:trPr>
        <w:tc>
          <w:tcPr>
            <w:tcW w:type="dxa" w:w="38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第一段安全航点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先保持Q1并降低Q2</w:t>
            </w:r>
          </w:p>
        </w:tc>
      </w:tr>
      <w:tr>
        <w:trPr>
          <w:cantSplit/>
        </w:trPr>
        <w:tc>
          <w:tcPr>
            <w:tcW w:type="dxa" w:w="38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第二段到终点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1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再降低Q1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t>首版可证明的性质</w:t>
      </w:r>
    </w:p>
    <w:p>
      <w:pPr>
        <w:widowControl/>
      </w:pPr>
      <w:r>
        <w:t>将量程、总流量和两相间隔写成对命令向量的线性不等式。对每段命令同时检查起点、Q1先更新后的混合点和终点，即可检查这条串行命令路径的端点；若通道更新在相邻端点之间单调插值，凸线性约束在该段内成立。</w:t>
      </w:r>
    </w:p>
    <w:p>
      <w:pPr>
        <w:widowControl/>
      </w:pPr>
      <w:r>
        <w:t>这一性质只针对命令与参数编码空间。软管耦合、惯性、润湿及非线性流态可能使芯片状态不同，故不能声称证明真实两相流始终安全。还需预测多个候选动态模型下的路径，并保留实时视觉质检和硬件停机。</w:t>
      </w:r>
    </w:p>
    <w:p>
      <w:pPr>
        <w:pStyle w:val="Heading2"/>
      </w:pPr>
      <w:r>
        <w:t>实际接入</w:t>
      </w:r>
    </w:p>
    <w:p>
      <w:pPr>
        <w:widowControl/>
      </w:pPr>
      <w:r>
        <w:t>在统一约束模块加入总流量复核，并在泵参数编码后再次校验。若量化后越界，先收缩或投影候选命令再检查；不能假设浮点求解可行等于泵能准确执行。首版保留现有写入顺序，以安全航点完成转换，不更改协议。</w:t>
      </w:r>
    </w:p>
    <w:p>
      <w:pPr>
        <w:widowControl/>
      </w:pPr>
      <w:r>
        <w:t>所有控制器共用该保护，包括 PI、Smith PI 和各 MPC 消融版本。安全层只允许在无硬件仿真中关闭。泵回读或部分事务失败继续执行现有停机与回滚；模型失配但硬件正常才允许切换回 PI。</w:t>
      </w:r>
    </w:p>
    <w:p>
      <w:pPr>
        <w:widowControl/>
      </w:pPr>
      <w:r>
        <w:t>现有 set_operating_point 可作为接管起点，但其历史清零不等于任意状态下自动无扰。新增测试应验证首次 PI 命令与当前编码后命令的差值满足单周期变化限制。</w:t>
      </w:r>
    </w:p>
    <w:p>
      <w:pPr>
        <w:pStyle w:val="Heading1"/>
        <w:pageBreakBefore/>
      </w:pPr>
      <w:r>
        <w:t>十  预测控制器的最小实现</w:t>
      </w:r>
    </w:p>
    <w:p>
      <w:pPr>
        <w:pStyle w:val="Heading2"/>
      </w:pPr>
      <w:r>
        <w:t>输入输出与目标</w:t>
      </w:r>
    </w:p>
    <w:p>
      <w:pPr>
        <w:widowControl/>
      </w:pPr>
      <w:r>
        <w:t>第一版只控制直径，两路 Q 均参与分配。以当前验证工作点线性化输出模型，优化未来命令增量；考虑多个已辨识模型的预测误差、动作变化和工作区约束。静态前馈在目标修改时执行一次，所有预测算法共享相同前馈。</w:t>
      </w:r>
    </w:p>
    <w:p>
      <w:pPr>
        <w:spacing w:before="80" w:after="180"/>
        <w:jc w:val="center"/>
      </w:pPr>
      <m:oMathPara>
        <m:oMath>
          <m:r>
            <m:t>J = ∑ 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t>(</m:t>
          </m:r>
          <m:sSub>
            <m:e>
              <m:r>
                <m:t>ŷ</m:t>
              </m:r>
            </m:e>
            <m:sub>
              <m:r>
                <m:t>k+i</m:t>
              </m:r>
            </m:sub>
          </m:sSub>
          <m:r>
            <m:t> − </m:t>
          </m:r>
          <m:sSub>
            <m:e>
              <m:r>
                <m:t>y</m:t>
              </m:r>
            </m:e>
            <m:sub>
              <m:r>
                <m:t>ref</m:t>
              </m:r>
            </m:sub>
          </m:sSub>
          <m:r>
            <m:t>)² + ∑ </m:t>
          </m:r>
          <m:sSub>
            <m:e>
              <m:r>
                <m:t>w</m:t>
              </m:r>
            </m:e>
            <m:sub>
              <m:r>
                <m:t>u</m:t>
              </m:r>
            </m:sub>
          </m:sSub>
          <m:r>
            <m:t> ‖Δ</m:t>
          </m:r>
          <m:sSub>
            <m:e>
              <m:r>
                <m:t>u</m:t>
              </m:r>
            </m:e>
            <m:sub>
              <m:r>
                <m:t>k+i</m:t>
              </m:r>
            </m:sub>
          </m:sSub>
          <m:r>
            <m:t>‖²</m:t>
          </m:r>
        </m:oMath>
      </m:oMathPara>
    </w:p>
    <w:p>
      <w:pPr>
        <w:widowControl/>
      </w:pPr>
      <w:r>
        <w:t>误差和动作量均按事先固定尺度归一化。输出误差可软约束；单泵量程、总流量、最小相间隔、编码可实现性及命令变化率必须硬约束。稳定流态域先用经过验证的保守工作区近似。</w:t>
      </w:r>
    </w:p>
    <w:p>
      <w:pPr>
        <w:pStyle w:val="Heading2"/>
      </w:pPr>
      <w:r>
        <w:t>求解规模</w:t>
      </w:r>
    </w:p>
    <w:p>
      <w:pPr>
        <w:widowControl/>
      </w:pPr>
      <w:r>
        <w:t>初版可用 OSQP 解局部线性二次规划，采用2至3个控制移动块。预测时间至少覆盖有效延迟上界加3至4倍时间常数，再按实测计算预算选择时间网格。若需要超过12步，可采用非均匀时间网格或更长时域；不得截断到输入效果尚未出现。</w:t>
      </w:r>
    </w:p>
    <w:p>
      <w:pPr>
        <w:widowControl/>
      </w:pPr>
      <w:r>
        <w:t>离线测试候选模型3至5个、预测节点10至40个的计算时间。建议求解器预算先设为100至300 ms，最终按当前电脑实测确定；95分位求解耗时应低于控制周期的5%。超时、非有限数或解后约束失败时丢弃结果，触发受限 PI 接管。</w:t>
      </w:r>
    </w:p>
    <w:p>
      <w:pPr>
        <w:pStyle w:val="Heading2"/>
      </w:pPr>
      <w:r>
        <w:t>避免重复补偿旧命令</w:t>
      </w:r>
    </w:p>
    <w:p>
      <w:pPr>
        <w:widowControl/>
      </w:pPr>
      <w:r>
        <w:t>控制器使用命令历史预测尚未体现的响应。事务尚未完成时不启动第二个写入；新目标以 target revision 使旧解失效。缺乏新测量时默认保持或按预先验证的规则预测运行有限周期，超出边界进入现有停机路径。</w:t>
      </w:r>
    </w:p>
    <w:p>
      <w:pPr>
        <w:pStyle w:val="Heading2"/>
      </w:pPr>
      <w:r>
        <w:t>第二阶段才扩展频率</w:t>
      </w:r>
    </w:p>
    <w:p>
      <w:pPr>
        <w:widowControl/>
      </w:pPr>
      <w:r>
        <w:t>频率计量合格后，重新辨识直径和频率对两路输入的局部2×2灵敏度与动态。条件数应基于无量纲矩阵和重复实验报告；矩阵接近奇异时限制目标组合。双输出比较必须新增同目标的解耦双 PI 或双环 Smith 对照，不得沿用只控直径的 PI 来宣称双输出优势。</w:t>
      </w:r>
    </w:p>
    <w:p>
      <w:pPr>
        <w:pStyle w:val="Heading1"/>
        <w:pageBreakBefore/>
      </w:pPr>
      <w:r>
        <w:t>十一  逐文件软件改造清单</w:t>
      </w:r>
    </w:p>
    <w:p>
      <w:pPr>
        <w:widowControl/>
      </w:pPr>
      <w:r>
        <w:t>所有新增数学模块只返回预测或候选命令。Qt 页面仅调用 Orchestrator 的公开接口，硬件写入仍集中在编排层。新功能默认关闭，旧标定记录可读但不自动授权新策略。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3990"/>
        <w:gridCol w:w="2802"/>
      </w:tblGrid>
      <w:tr>
        <w:trPr>
          <w:cantSplit/>
          <w:tblHeader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新增工作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backend/orchestrator/</w:t>
              <w:br/>
              <w:t>vision_adapter.py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记录采样连续片段、盲区及全部采集时间；统一时间语义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批处理跳帧和时钟跳变回放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backend/vision/metrics.py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事件窗口对象、相同统计口径、覆盖指标；区分未知频率与零频率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跨窗口及同帧多滴测试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backend/pump_hardware/</w:t>
              <w:br/>
              <w:t>models.py 和 service.py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逐泵各次尝试的时间区间、编码流量、事务ID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失败重试和部分写入测试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backend/pid_control/</w:t>
              <w:br/>
              <w:t>calibration_experiment.py</w:t>
              <w:br/>
              <w:t>及 orchestrator/service.py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物理最短等待、试验总时限、逐通道辨识与验证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延迟未到前不可判低增益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新增 backend/operating_model/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上下文、实验设计、响应面、逆向推荐及版本存储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不可行网格与外推拒绝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新增 pid_control/</w:t>
              <w:br/>
              <w:t>timed_output_model.py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事件驱动一阶模型、采样时刻聚合、少量候选模型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合成参数及事件回放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新增 pid_control/</w:t>
              <w:br/>
              <w:t>predictive_controller.py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单输出双泵预测控制、求解预算、解后约束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模型失配和超时路径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新增 pump_hardware/</w:t>
              <w:br/>
              <w:t>command_path.py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编码复核、串行中间点检查、安全航点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危险混合点回归案例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orchestrator/models.py</w:t>
              <w:br/>
              <w:t>service.py 和 pid_database.py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策略路由、版本令牌、模型诊断、原始事件与命令表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目标竞态与生命周期测试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frontend/qt_app.py</w:t>
            </w:r>
          </w:p>
        </w:tc>
        <w:tc>
          <w:tcPr>
            <w:tcW w:type="dxa" w:w="39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显示策略、有效测量、模型状态和拒绝原因</w:t>
            </w:r>
          </w:p>
        </w:tc>
        <w:tc>
          <w:tcPr>
            <w:tcW w:type="dxa" w:w="28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无设备UI测试；界面无阻塞I/O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具体函数与文件拆分在开发时沿用相关 README 和类型定义。文件表是增量实现清单，不代表这些模块已存在。新增控制依赖经项目虚拟环境固定版本与验证，缺少依赖时应明确禁用该策略。</w:t>
      </w:r>
    </w:p>
    <w:p>
      <w:pPr>
        <w:pStyle w:val="Heading1"/>
        <w:pageBreakBefore/>
      </w:pPr>
      <w:r>
        <w:t>十二  数据契约与软件验证</w:t>
      </w:r>
    </w:p>
    <w:p>
      <w:pPr>
        <w:pStyle w:val="Heading2"/>
      </w:pPr>
      <w:r>
        <w:t>必须长期保留的数据</w:t>
      </w:r>
    </w:p>
    <w:p>
      <w:pPr>
        <w:widowControl/>
      </w:pPr>
      <w:r>
        <w:t>实验上下文包含芯片ID、几何及测量方法、通道模式、液体和表面活性剂配方、温度、管路ID与长度、泵和注射器配置、软件提交号。每次运行有独立 run_id，并保存训练数据哈希、控制器版本、参数和随机种子。</w:t>
      </w:r>
    </w:p>
    <w:p>
      <w:pPr>
        <w:widowControl/>
      </w:pPr>
      <w:r>
        <w:t>视觉事件至少保存 run_id、frame_id、track_id、采集时间、处理完成时间、过线时间估计、塞长、几何等效直径、质量理由和采样连续片段。轨迹ID只在会话内唯一，不能跨运行去重。</w:t>
      </w:r>
    </w:p>
    <w:p>
      <w:pPr>
        <w:widowControl/>
      </w:pPr>
      <w:r>
        <w:t>命令事件保存 transaction_id、target_revision、通道、每次尝试的发送与回读时间、请求流量、编码流量、验证结果与失败状态。控制周期表记录观测窗口、模型版本、预测、求解耗时、候选和最终命令、当前控制权及接管原因。</w:t>
      </w:r>
    </w:p>
    <w:p>
      <w:pPr>
        <w:pStyle w:val="Heading2"/>
      </w:pPr>
      <w:r>
        <w:t>首批回归测试</w:t>
      </w:r>
    </w:p>
    <w:p>
      <w:pPr>
        <w:widowControl/>
      </w:pPr>
      <w:r>
        <w:t>新增 tests/test_sampling_coverage.py、test_timed_output_model.py、test_command_path.py、test_predictive_controller.py。重点覆盖：同帧多滴、观测盲区、乱序采集、重复轨迹、长延迟低响应、泵编码边界、Q1先写混合点、部分事务、求解超时以及目标切换使旧解失效。</w:t>
      </w:r>
    </w:p>
    <w:p>
      <w:pPr>
        <w:widowControl/>
      </w:pPr>
      <w:r>
        <w:t>集成测试增加暂停、恢复、停止、重新配置和断连后清空命令队列与模型状态。时钟使用可控假时钟；泵与相机使用 mock；仿真专门覆盖延迟变化、增益漂移与缺测。所有公共控制或线程变更完成后运行完整测试。</w:t>
      </w:r>
    </w:p>
    <w:p>
      <w:pPr>
        <w:pStyle w:val="Heading2"/>
      </w:pPr>
      <w:r>
        <w:t>仿真与真实实验的分工</w:t>
      </w:r>
    </w:p>
    <w:p>
      <w:pPr>
        <w:widowControl/>
      </w:pPr>
      <w:r>
        <w:t>先使用合成模型检查数学与约束，再用冻结的真实事件日志回放验证预测和执行路径。两者都不能证明真实芯片的闭环性能。影子模式只记录建议命令，不发送；正式上线从小目标转换开始，逐级扩大经验证的工作区。</w:t>
      </w:r>
    </w:p>
    <w:p>
      <w:pPr>
        <w:widowControl/>
      </w:pPr>
      <w:r>
        <w:t>建议接口包括 observe_window、record_command_event、predict_observation、propose_command 和 validate_encoded_path。接口返回带原因的结果，不能通过吞异常或放宽验证来维持控制。日志写入沿用现有有界队列与存储设施，避免阻塞相机或控制线程。</w:t>
      </w:r>
    </w:p>
    <w:p>
      <w:pPr>
        <w:widowControl/>
      </w:pPr>
      <w:r>
        <w:t>本次只复核代码和编写方案，未连接相机、串口或改变泵参数。实际执行的检查命令为 .venv\Scripts\python.exe -m pytest -q；结果为267项测试和6项子测试通过。</w:t>
      </w:r>
    </w:p>
    <w:p>
      <w:pPr>
        <w:pStyle w:val="Heading1"/>
        <w:pageBreakBefore/>
      </w:pPr>
      <w:r>
        <w:t>十三  正式实验和公平对照</w:t>
      </w:r>
    </w:p>
    <w:p>
      <w:pPr>
        <w:widowControl/>
      </w:pPr>
      <w:r>
        <w:t>正式试验以4块独立制造的同版芯片、每块跨2天为起始设计，形成8个芯片日区组。每个区组都完成相同控制器与场景；日期是该区组的组成，不把只有2个水平的日期强行建成独立随机效应。样本量需由独立先导方差校核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0"/>
        <w:gridCol w:w="3650"/>
        <w:gridCol w:w="3162"/>
      </w:tblGrid>
      <w:tr>
        <w:trPr>
          <w:cantSplit/>
          <w:tblHeader/>
        </w:trPr>
        <w:tc>
          <w:tcPr>
            <w:tcW w:type="dxa" w:w="29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控制器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共同条件</w:t>
            </w:r>
          </w:p>
        </w:tc>
        <w:tc>
          <w:tcPr>
            <w:tcW w:type="dxa" w:w="3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用于回答的问题</w:t>
            </w:r>
          </w:p>
        </w:tc>
      </w:tr>
      <w:tr>
        <w:trPr>
          <w:cantSplit/>
        </w:trPr>
        <w:tc>
          <w:tcPr>
            <w:tcW w:type="dxa" w:w="29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C0 标定 PI 加静态前馈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同一前馈、任务、工作区与命令保护</w:t>
            </w:r>
          </w:p>
        </w:tc>
        <w:tc>
          <w:tcPr>
            <w:tcW w:type="dxa" w:w="3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现有体系优化后是否已经足够</w:t>
            </w:r>
          </w:p>
        </w:tc>
      </w:tr>
      <w:tr>
        <w:trPr>
          <w:cantSplit/>
        </w:trPr>
        <w:tc>
          <w:tcPr>
            <w:tcW w:type="dxa" w:w="29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C1 Smith PI 加静态前馈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同一辨识数据与整定预算</w:t>
            </w:r>
          </w:p>
        </w:tc>
        <w:tc>
          <w:tcPr>
            <w:tcW w:type="dxa" w:w="3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收益是否超过常规延迟补偿</w:t>
            </w:r>
          </w:p>
        </w:tc>
      </w:tr>
      <w:tr>
        <w:trPr>
          <w:cantSplit/>
        </w:trPr>
        <w:tc>
          <w:tcPr>
            <w:tcW w:type="dxa" w:w="29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C2 同步输入 MPC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同一模型阶数、求解时域与约束</w:t>
            </w:r>
          </w:p>
        </w:tc>
        <w:tc>
          <w:tcPr>
            <w:tcW w:type="dxa" w:w="3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普通预测控制能解释多少收益</w:t>
            </w:r>
          </w:p>
        </w:tc>
      </w:tr>
      <w:tr>
        <w:trPr>
          <w:cantSplit/>
        </w:trPr>
        <w:tc>
          <w:tcPr>
            <w:tcW w:type="dxa" w:w="29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C3 逐泵事件 MPC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在C2基础上只改命令时序</w:t>
            </w:r>
          </w:p>
        </w:tc>
        <w:tc>
          <w:tcPr>
            <w:tcW w:type="dxa" w:w="3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逐泵时序的独立作用</w:t>
            </w:r>
          </w:p>
        </w:tc>
      </w:tr>
      <w:tr>
        <w:trPr>
          <w:cantSplit/>
        </w:trPr>
        <w:tc>
          <w:tcPr>
            <w:tcW w:type="dxa" w:w="29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C4 完整时序一致 MPC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在C3基础上再匹配实际测量窗口</w:t>
            </w:r>
          </w:p>
        </w:tc>
        <w:tc>
          <w:tcPr>
            <w:tcW w:type="dxa" w:w="3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观测聚合带来的额外作用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所有控制器使用相同原始数据、质量门槛、串行中间状态保护和前馈。C2至C4使用相同模型候选数与调参预算；额外数据或在线更新若只给完整方法，将无法归因。</w:t>
      </w:r>
    </w:p>
    <w:p>
      <w:pPr>
        <w:pStyle w:val="Heading2"/>
      </w:pPr>
      <w:r>
        <w:t>三个场景</w:t>
      </w:r>
    </w:p>
    <w:p>
      <w:pPr>
        <w:widowControl/>
      </w:pPr>
      <w:r>
        <w:t>场景A为原装置的上下尺寸切换；场景B为更换已知长度的同材质软管后重复任务，不重新辨识；场景C为受控稀疏视觉条件。C需从可用图像中确定性隐藏部分分析帧，保留完整录像供离线真值评价，不影响硬件停机监测。B中的改变同时可能影响流阻、柔顺性和延迟，应称管路变化，不能只归因于纯延迟。</w:t>
      </w:r>
    </w:p>
    <w:p>
      <w:pPr>
        <w:widowControl/>
      </w:pPr>
      <w:r>
        <w:t>每次运行预置低、中、高可达尺寸中的4次转换，终点从独立静态图确定，含至少一次升降方向反转。每段持续时间由延迟与时间常数决定，并冻结最大观察时长。5种控制器×3场景×8区组，共120次运行；运行内多次转换作为重复观测，不能当独立实验单位。</w:t>
      </w:r>
    </w:p>
    <w:p>
      <w:pPr>
        <w:widowControl/>
      </w:pPr>
      <w:r>
        <w:t>对控制器顺序采用平衡随机化并记录顺序协变量；每次恢复同一基准点。重复试验优先安排在不同芯片日，而不是连续重复同一段视频。</w:t>
      </w:r>
    </w:p>
    <w:p>
      <w:pPr>
        <w:pStyle w:val="Heading1"/>
        <w:pageBreakBefore/>
      </w:pPr>
      <w:r>
        <w:t>十四  评价指标与统计规则</w:t>
      </w:r>
    </w:p>
    <w:p>
      <w:pPr>
        <w:pStyle w:val="Heading2"/>
      </w:pPr>
      <w:r>
        <w:t>主要终点</w:t>
      </w:r>
    </w:p>
    <w:p>
      <w:pPr>
        <w:widowControl/>
      </w:pPr>
      <w:r>
        <w:t>主要终点采用固定试验时域内的直径归一化绝对误差积分，按实际时间积分并使用离线统一分析。主比较为 C4 对 C1 和 C4 对 C2，两项比较控制多重性。算法无效或中止的运行保留，单独报告失败并使用预设失败惩罚开展敏感性分析。</w:t>
      </w:r>
    </w:p>
    <w:p>
      <w:pPr>
        <w:spacing w:before="80" w:after="180"/>
        <w:jc w:val="center"/>
      </w:pPr>
      <m:oMathPara>
        <m:oMath>
          <m:r>
            <m:t>nIAE = </m:t>
          </m:r>
          <m:f>
            <m:num>
              <m:r>
                <m:t>1</m:t>
              </m:r>
            </m:num>
            <m:den>
              <m:r>
                <m:t>T</m:t>
              </m:r>
            </m:den>
          </m:f>
          <m:r>
            <m:t> ∫ </m:t>
          </m:r>
          <m:f>
            <m:num>
              <m:r>
                <m:t>| d(t) − d*(t) |</m:t>
              </m:r>
            </m:num>
            <m:den>
              <m:r>
                <m:t>d*(t)</m:t>
              </m:r>
            </m:den>
          </m:f>
          <m:r>
            <m:t> dt</m:t>
          </m:r>
        </m:oMath>
      </m:oMathPara>
    </w:p>
    <w:p>
      <w:pPr>
        <w:widowControl/>
      </w:pPr>
      <w:r>
        <w:t>离线视频若仍有不可恢复缺测，应报告有效时间覆盖并界定结果；不把缺测时段误差置零。不要选择各控制器不同的观察时长后直接比较误差面积。</w:t>
      </w:r>
    </w:p>
    <w:p>
      <w:pPr>
        <w:pStyle w:val="Heading2"/>
      </w:pPr>
      <w:r>
        <w:t>产品与控制的次要终点</w:t>
      </w:r>
    </w:p>
    <w:p>
      <w:pPr>
        <w:widowControl/>
      </w:pPr>
      <w:r>
        <w:t>记录进入目标±5%带并维持至少2个有效控制周期的调节时间、最大过冲、稳态CV、命令总变差、事务次数及安全接管次数。若尺寸计量不足以分辨5%误差，应先提高计量精度或明确更宽任务容差。</w:t>
      </w:r>
    </w:p>
    <w:p>
      <w:pPr>
        <w:widowControl/>
      </w:pPr>
      <w:r>
        <w:t>连续视频计数通过后，以目标修改至固定截止时间内尺寸不合格液滴数定义过渡废滴，同时报告总产滴数与合格产率。失踪液滴不能默认合格，不能只报告百分比而忽略频率下降。不能连续计数时改报告已观测尺寸不合格比例及其采样限制。</w:t>
      </w:r>
    </w:p>
    <w:p>
      <w:pPr>
        <w:pStyle w:val="Heading2"/>
      </w:pPr>
      <w:r>
        <w:t>建议的通过标准</w:t>
      </w:r>
    </w:p>
    <w:p>
      <w:pPr>
        <w:widowControl/>
      </w:pPr>
      <w:r>
        <w:t>独立动态验证中 C4 相比 C2 的预测误差降低建议达到15%以上；主闭环相对 C1 与 C2 的 nIAE 降低建议达到20%以上，并报告区间。调节时间或过渡废滴至少一项取得有实际意义的改善；稳态CV非劣界建议为0.5个百分点。以上为研究继续阈值，不是预期成果数值。</w:t>
      </w:r>
    </w:p>
    <w:p>
      <w:pPr>
        <w:pStyle w:val="Heading2"/>
      </w:pPr>
      <w:r>
        <w:t>统计执行</w:t>
      </w:r>
    </w:p>
    <w:p>
      <w:pPr>
        <w:widowControl/>
      </w:pPr>
      <w:r>
        <w:t>以运行级结果做预先指定的控制器配对比较，模型包含控制器、场景和顺序固定效应，以及芯片日区组项。芯片数量较少时以区组内配对差值、按芯片聚类的敏感性分析和适当的小样本方法交叉检查，避免依赖单一渐近p值。</w:t>
      </w:r>
    </w:p>
    <w:p>
      <w:pPr>
        <w:widowControl/>
      </w:pPr>
      <w:r>
        <w:t>先导数据用于估计运行级方差和合理效应尺度，再计算80%功效、双侧α为0.05及多重比较修正后的样本量；8区组只是预算起点。未收敛的调节时间按右删失处理；失败率与CV完整报告。未通过的预注册指标不得事后换成更漂亮的指标。</w:t>
      </w:r>
    </w:p>
    <w:p>
      <w:pPr>
        <w:pStyle w:val="Heading1"/>
        <w:pageBreakBefore/>
      </w:pPr>
      <w:r>
        <w:t>十五  高水平论文还需要的证据</w:t>
      </w:r>
    </w:p>
    <w:p>
      <w:pPr>
        <w:pStyle w:val="Heading2"/>
      </w:pPr>
      <w:r>
        <w:t>跨芯片验证的可行版本</w:t>
      </w:r>
    </w:p>
    <w:p>
      <w:pPr>
        <w:widowControl/>
      </w:pPr>
      <w:r>
        <w:t>同版不同芯片只能支持制造差异下的重复性。建议在4块芯片上轮流完整留出1块，以其余3块建立候选模型；测试芯片允许一次中心点校正，另设从零标定对照，比较达到可用模型所需样本数及控制结果。必须把允许的校准预算和初始数据写清楚。</w:t>
      </w:r>
    </w:p>
    <w:p>
      <w:pPr>
        <w:widowControl/>
      </w:pPr>
      <w:r>
        <w:t>跨几何不是首阶段前提。若确有第二种十字芯片，加入至少2块该几何并完整留出验证；没有不同几何，论文不得声称跨结构泛化。无法做转移验证时，保留各芯片独立标定的诚实主张。</w:t>
      </w:r>
    </w:p>
    <w:p>
      <w:pPr>
        <w:pStyle w:val="Heading2"/>
      </w:pPr>
      <w:r>
        <w:t>把控制收益落到实验任务</w:t>
      </w:r>
    </w:p>
    <w:p>
      <w:pPr>
        <w:widowControl/>
      </w:pPr>
      <w:r>
        <w:t>建议完成无需新增化学检测设备的多尺寸批次生产演示：按同一目标配方生成3种预定尺寸，重复切换，离线统计每个批次的尺寸合格率、启动废滴、获得指定数量合格液滴的时间及液体消耗。取样和计数沿用现有相机，不为了投稿增加尚不具备条件的细胞或反应实验。</w:t>
      </w:r>
    </w:p>
    <w:p>
      <w:pPr>
        <w:widowControl/>
      </w:pPr>
      <w:r>
        <w:t>再做至少4个芯片日区组的长时对照，C1与C4各连续运行2小时，共16小时。记录温度、中心点漂移、模型接管与污染迹象，比较长时质量及失败概率。几小时运行结束没有失败，不等于证明任意长期可靠。</w:t>
      </w:r>
    </w:p>
    <w:p>
      <w:pPr>
        <w:pStyle w:val="Heading2"/>
      </w:pPr>
      <w:r>
        <w:t>建议论文图表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50"/>
        <w:gridCol w:w="8542"/>
      </w:tblGrid>
      <w:tr>
        <w:trPr>
          <w:cantSplit/>
          <w:tblHeader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图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应提供的证据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图1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实物系统和统一时间轴，展示串行更新及视觉盲区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图2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尺寸计量、过线召回率、时间与事务时长分布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图3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四种时间处理模型的预测消融及自然条件负结果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图4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五种控制器的公平闭环轨迹与区组配对效应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图5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管路与稀疏采样下的性能、失败和恢复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图6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多尺寸批次合格率、废滴与消耗以及长时漂移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补充材料</w:t>
            </w:r>
          </w:p>
        </w:tc>
        <w:tc>
          <w:tcPr>
            <w:tcW w:type="dxa" w:w="854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原始视频子集、模型、全部运行日志和一键作图脚本</w:t>
            </w:r>
          </w:p>
        </w:tc>
      </w:tr>
    </w:tbl>
    <w:p>
      <w:pPr>
        <w:widowControl/>
        <w:spacing w:after="20"/>
      </w:pPr>
    </w:p>
    <w:p>
      <w:pPr>
        <w:pStyle w:val="Heading1"/>
        <w:pageBreakBefore/>
      </w:pPr>
      <w:r>
        <w:t>十六  进度资源与投稿判断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0"/>
        <w:gridCol w:w="4620"/>
        <w:gridCol w:w="3822"/>
      </w:tblGrid>
      <w:tr>
        <w:trPr>
          <w:cantSplit/>
          <w:tblHeader/>
        </w:trPr>
        <w:tc>
          <w:tcPr>
            <w:tcW w:type="dxa" w:w="1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周次</w:t>
            </w:r>
          </w:p>
        </w:tc>
        <w:tc>
          <w:tcPr>
            <w:tcW w:type="dxa" w:w="4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实施任务</w:t>
            </w:r>
          </w:p>
        </w:tc>
        <w:tc>
          <w:tcPr>
            <w:tcW w:type="dxa" w:w="38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20" w:line="271" w:lineRule="auto"/>
            </w:pPr>
            <w:r>
              <w:rPr>
                <w:b/>
                <w:sz w:val="18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1至2</w:t>
            </w:r>
          </w:p>
        </w:tc>
        <w:tc>
          <w:tcPr>
            <w:tcW w:type="dxa" w:w="4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采样时间、命令日志、计量与最短等待修正</w:t>
            </w:r>
          </w:p>
        </w:tc>
        <w:tc>
          <w:tcPr>
            <w:tcW w:type="dxa" w:w="38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尺寸可信，响应可见，数据能够回放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3至4</w:t>
            </w:r>
          </w:p>
        </w:tc>
        <w:tc>
          <w:tcPr>
            <w:tcW w:type="dxa" w:w="4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静态工作图和动态模型，完成离线消融</w:t>
            </w:r>
          </w:p>
        </w:tc>
        <w:tc>
          <w:tcPr>
            <w:tcW w:type="dxa" w:w="38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独立预测通过；确定频率是否可用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5至6</w:t>
            </w:r>
          </w:p>
        </w:tc>
        <w:tc>
          <w:tcPr>
            <w:tcW w:type="dxa" w:w="4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命令路径检查、Smith PI和普通MPC</w:t>
            </w:r>
          </w:p>
        </w:tc>
        <w:tc>
          <w:tcPr>
            <w:tcW w:type="dxa" w:w="38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公平强基线可复现，所有约束测试通过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7至8</w:t>
            </w:r>
          </w:p>
        </w:tc>
        <w:tc>
          <w:tcPr>
            <w:tcW w:type="dxa" w:w="4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逐泵与窗口一致预测，影子模式及低幅闭环</w:t>
            </w:r>
          </w:p>
        </w:tc>
        <w:tc>
          <w:tcPr>
            <w:tcW w:type="dxa" w:w="38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性能改善且异常接管行为正确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9至12</w:t>
            </w:r>
          </w:p>
        </w:tc>
        <w:tc>
          <w:tcPr>
            <w:tcW w:type="dxa" w:w="4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正式区组实验、迁移验证和批次任务</w:t>
            </w:r>
          </w:p>
        </w:tc>
        <w:tc>
          <w:tcPr>
            <w:tcW w:type="dxa" w:w="38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样本量足够，主要结果不依赖单块芯片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13至16</w:t>
            </w:r>
          </w:p>
        </w:tc>
        <w:tc>
          <w:tcPr>
            <w:tcW w:type="dxa" w:w="46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长时实验、统计复核、图表与论文写作</w:t>
            </w:r>
          </w:p>
        </w:tc>
        <w:tc>
          <w:tcPr>
            <w:tcW w:type="dxa" w:w="38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1" w:lineRule="auto"/>
            </w:pPr>
            <w:r>
              <w:rPr>
                <w:b w:val="0"/>
                <w:sz w:val="18"/>
              </w:rPr>
              <w:t>全部结论可追溯到冻结数据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t>实验资源预算</w:t>
      </w:r>
    </w:p>
    <w:p>
      <w:pPr>
        <w:widowControl/>
      </w:pPr>
      <w:r>
        <w:t>需要现有泵、相机和电脑，至少4块同版芯片，同批液体、可记录管长的备用软管、可靠比例尺和芯片深度资料，以及连续视频存储空间。若120次运行平均12至20分钟，仅正式闭环占24至40小时；加16小时长试验后为40至56小时，尚不含标定、清洗和失败重做。真实时长由先导参数决定。</w:t>
      </w:r>
    </w:p>
    <w:p>
      <w:pPr>
        <w:widowControl/>
      </w:pPr>
      <w:r>
        <w:t>液体预算按每路流量×实际灌注时间计算，并计入恢复、清洗和损耗；不能按录像时间估算。独立质量参考不足时应先借用计量设备，避免先开发复杂流量观测器。现场需有人能够处理堵塞、气泡和漏液。</w:t>
      </w:r>
    </w:p>
    <w:p>
      <w:pPr>
        <w:pStyle w:val="Heading2"/>
      </w:pPr>
      <w:r>
        <w:t>明确的停止规则</w:t>
      </w:r>
    </w:p>
    <w:p>
      <w:pPr>
        <w:widowControl/>
      </w:pPr>
      <w:r>
        <w:t>尺寸计量不合格则停止控制优化；事件模型没有独立预测收益则降低时序创新主张；完整方法未超过强基线则不扩大昂贵实验；芯片可用数不足则不报告迁移优势。软件仍可保留确有价值的前馈、日志和串行路径检查。</w:t>
      </w:r>
    </w:p>
    <w:p>
      <w:pPr>
        <w:pStyle w:val="Heading1"/>
        <w:pageBreakBefore/>
      </w:pPr>
      <w:r>
        <w:t>十七  可选探索与参考资料</w:t>
      </w:r>
    </w:p>
    <w:p>
      <w:pPr>
        <w:pStyle w:val="Heading2"/>
      </w:pPr>
      <w:r>
        <w:t>流量软测量作为附加研究</w:t>
      </w:r>
    </w:p>
    <w:p>
      <w:pPr>
        <w:widowControl/>
      </w:pPr>
      <w:r>
        <w:t>只有连续过线计数和几何体积通过验证后，才能由一个窗口内逐滴体积总和估计观察截面的分散相平均流量。应先逐滴求体积再求和，不能将平均直径立方当平均体积；流量单位换算要在测试中固定。</w:t>
      </w:r>
    </w:p>
    <w:p>
      <w:pPr>
        <w:spacing w:before="80" w:after="180"/>
        <w:jc w:val="center"/>
      </w:pPr>
      <m:oMathPara>
        <m:oMath>
          <m:sSub>
            <m:e>
              <m:r>
                <m:t>Q</m:t>
              </m:r>
            </m:e>
            <m:sub>
              <m:r>
                <m:t>d,vis</m:t>
              </m:r>
            </m:sub>
          </m:sSub>
          <m:r>
            <m:t> = </m:t>
          </m:r>
          <m:f>
            <m:num>
              <m:r>
                <m:t>60 × 10⁻⁹</m:t>
              </m:r>
            </m:num>
            <m:den>
              <m:r>
                <m:t>Δt</m:t>
              </m:r>
            </m:den>
          </m:f>
          <m:r>
            <m:t> ∑ 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   [μL/min]</m:t>
          </m:r>
        </m:oMath>
      </m:oMathPara>
    </w:p>
    <w:p>
      <w:pPr>
        <w:widowControl/>
      </w:pPr>
      <w:r>
        <w:t>其中体积为 μm³，窗口时间为秒。漏滴、未成滴射流或几何偏差都会破坏估计。称量或收集法只支持足够长稳态窗口的平均量比较；不支持瞬态入口真值。速度×面积估计总流量还需要滑移与液膜修正，本方案不依赖其成功。</w:t>
      </w:r>
    </w:p>
    <w:p>
      <w:pPr>
        <w:pStyle w:val="Heading2"/>
      </w:pPr>
      <w:r>
        <w:t>参考文献与原始资料</w:t>
      </w:r>
    </w:p>
    <w:p>
      <w:pPr>
        <w:spacing w:after="180"/>
      </w:pPr>
      <w:hyperlink r:id="rId10">
        <w:r>
          <w:rPr>
            <w:color w:val="17466A"/>
          </w:rPr>
          <w:t>[1] Crawford D F, Smith C A, Whyte G. Image-based closed-loop feedback for highly mono-dispersed microdroplet production. Scientific Reports, 2017, 7:10545.</w:t>
        </w:r>
      </w:hyperlink>
    </w:p>
    <w:p>
      <w:pPr>
        <w:spacing w:after="180"/>
      </w:pPr>
      <w:hyperlink r:id="rId11">
        <w:r>
          <w:rPr>
            <w:color w:val="17466A"/>
          </w:rPr>
          <w:t>[2] Moscato S, Sanalitro D, Stella G, Bucolo M. Model Predictive Control framework for slug flow microfluidics processes. Control Engineering Practice, 2024, 148:105944.</w:t>
        </w:r>
      </w:hyperlink>
    </w:p>
    <w:p>
      <w:pPr>
        <w:spacing w:after="180"/>
      </w:pPr>
      <w:hyperlink r:id="rId12">
        <w:r>
          <w:rPr>
            <w:color w:val="17466A"/>
          </w:rPr>
          <w:t>[3] Vicente Martínez J, Ramírez Laboreo E, Calderón Gil P. Dynamic modeling and predictive control of a microfluidic system. RIAI, 2024, 21:231–242. 作者预印本2402.09493.</w:t>
        </w:r>
      </w:hyperlink>
    </w:p>
    <w:p>
      <w:pPr>
        <w:spacing w:after="180"/>
      </w:pPr>
      <w:hyperlink r:id="rId13">
        <w:r>
          <w:rPr>
            <w:color w:val="17466A"/>
          </w:rPr>
          <w:t>[4] Lashkaripour A et al. Design automation of microfluidic single and double emulsion droplets with machine learning. Nature Communications, 2024, 15:83.</w:t>
        </w:r>
      </w:hyperlink>
    </w:p>
    <w:p>
      <w:pPr>
        <w:spacing w:after="180"/>
      </w:pPr>
      <w:hyperlink r:id="rId14">
        <w:r>
          <w:rPr>
            <w:color w:val="17466A"/>
          </w:rPr>
          <w:t>[5] Garstecki P, Fuerstman M J, Stone H A, Whitesides G M. Formation of droplets and bubbles in a microfluidic T-junction—scaling and mechanism of break-up. Lab on a Chip, 2006, 6:437–446.</w:t>
        </w:r>
      </w:hyperlink>
    </w:p>
    <w:p>
      <w:pPr>
        <w:spacing w:after="180"/>
      </w:pPr>
      <w:hyperlink r:id="rId15">
        <w:r>
          <w:rPr>
            <w:color w:val="17466A"/>
          </w:rPr>
          <w:t>[6] Royal Society of Chemistry. Lab on a Chip 官方期刊范围与作者信息. 检索于2026年9月6日.</w:t>
        </w:r>
      </w:hyperlink>
    </w:p>
    <w:p>
      <w:pPr>
        <w:widowControl/>
      </w:pPr>
      <w:r>
        <w:t>代码依据为 MCS_QT 的 sjr@8c3d42b。本文列出的算法组合与验收标准为本项目研究设计，尚不能当作已发表方法或已获得的实验结论。</w:t>
      </w:r>
    </w:p>
    <w:sectPr w:rsidR="00FC693F" w:rsidRPr="0006063C" w:rsidSect="00034616">
      <w:footerReference w:type="default" r:id="rId9"/>
      <w:pgSz w:w="12240" w:h="15840"/>
      <w:pgMar w:top="1181" w:right="1224" w:bottom="1181" w:left="1224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MCS_QT 研究实施方案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snapToGrid w:val="0"/>
    </w:pPr>
    <w:rPr>
      <w:rFonts w:ascii="Calibri" w:hAnsi="Calibr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6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  <w:snapToGrid w:val="0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  <w:snapToGrid w:val="0"/>
    </w:pPr>
    <w:rPr>
      <w:rFonts w:ascii="Calibri" w:hAnsi="Calibr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ature.com/articles/s41598-017-11254-5" TargetMode="External"/><Relationship Id="rId11" Type="http://schemas.openxmlformats.org/officeDocument/2006/relationships/hyperlink" Target="https://doi.org/10.1016/j.conengprac.2024.105944" TargetMode="External"/><Relationship Id="rId12" Type="http://schemas.openxmlformats.org/officeDocument/2006/relationships/hyperlink" Target="https://arxiv.org/abs/2402.09493" TargetMode="External"/><Relationship Id="rId13" Type="http://schemas.openxmlformats.org/officeDocument/2006/relationships/hyperlink" Target="https://www.nature.com/articles/s41467-023-44068-3" TargetMode="External"/><Relationship Id="rId14" Type="http://schemas.openxmlformats.org/officeDocument/2006/relationships/hyperlink" Target="https://doi.org/10.1039/B510841A" TargetMode="External"/><Relationship Id="rId15" Type="http://schemas.openxmlformats.org/officeDocument/2006/relationships/hyperlink" Target="https://www.rsc.org/publishing/journals/lab-on-a-c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现有微流控系统的时序一致预测控制论文实施方案</dc:title>
  <dc:subject>MCS_QT 代码复核 实验设计与高水平论文研究路线</dc:subject>
  <dc:creator>MCS_QT 研究方案</dc:creator>
  <cp:keywords>microfluidics; droplet control; timing; predictive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