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80"/>
        <w:jc w:val="center"/>
      </w:pPr>
      <w:r>
        <w:rPr>
          <w:rFonts w:ascii="Calibri" w:hAnsi="Calibri" w:eastAsia="Microsoft YaHei"/>
          <w:b/>
          <w:color w:val="2E74B5"/>
          <w:sz w:val="22"/>
        </w:rPr>
        <w:t>研究实施方案  |  技术路线与论文设计</w:t>
      </w:r>
    </w:p>
    <w:p>
      <w:pPr>
        <w:pStyle w:val="Title"/>
      </w:pPr>
      <w:r>
        <w:t>VISTA-MPC：视觉有效流量软测量与</w:t>
        <w:br/>
        <w:t>时间戳对齐预测控制</w:t>
      </w:r>
    </w:p>
    <w:p>
      <w:pPr>
        <w:pStyle w:val="Subtitle"/>
      </w:pPr>
      <w:r>
        <w:t>基于现有 MCS_QT 十字流聚焦液滴系统的高水平论文可执行方案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项目基线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sjr 分支 · commit 8c3d42b · 267项测试通过</w:t>
            </w:r>
          </w:p>
        </w:tc>
      </w:tr>
      <w:tr>
        <w:trPr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现有硬件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双注射泵（1200 baud）+ 相机 + 十字流聚焦芯片</w:t>
            </w:r>
          </w:p>
        </w:tc>
      </w:tr>
      <w:tr>
        <w:trPr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研究定位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高频视觉感知、慢执行器、大延迟、双输入双输出控制</w:t>
            </w:r>
          </w:p>
        </w:tc>
      </w:tr>
      <w:tr>
        <w:trPr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文档版本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v1.0 · 2026-09-04 · 实施建议稿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4DF"/>
          <w:left w:val="single" w:sz="4" w:space="0" w:color="C8D4DF"/>
          <w:bottom w:val="single" w:sz="4" w:space="0" w:color="C8D4DF"/>
          <w:right w:val="single" w:sz="4" w:space="0" w:color="C8D4DF"/>
          <w:insideH w:val="single" w:sz="4" w:space="0" w:color="C8D4DF"/>
          <w:insideV w:val="single" w:sz="4" w:space="0" w:color="C8D4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C"/>
          </w:tcPr>
          <w:p>
            <w:pPr>
              <w:keepNext w:val="0"/>
              <w:keepLines/>
              <w:spacing w:before="60" w:after="60" w:line="276" w:lineRule="auto"/>
              <w:widowControl/>
            </w:pPr>
            <w:r>
              <w:rPr>
                <w:rFonts w:ascii="Calibri" w:hAnsi="Calibri" w:eastAsia="Microsoft YaHei"/>
                <w:b/>
                <w:color w:val="245C3A"/>
                <w:sz w:val="21"/>
              </w:rPr>
              <w:t xml:space="preserve">执行结论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不重做现有控制栈，也不把普通PID、BO或MPC包装成创新。论文核心是利用现有体积、频率、速度和单滴时间戳形成视觉有效流量软测量，并解决双泵串行事务造成的异步延迟；静态前馈、MPC和安全降级围绕这一核心展开。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rFonts w:ascii="Calibri" w:hAnsi="Calibri" w:eastAsia="Microsoft YaHei"/>
          <w:i/>
          <w:color w:val="5B6573"/>
          <w:sz w:val="19"/>
        </w:rPr>
        <w:t>说明：文中百分比均为预先规定的验收阈值，不代表已经获得实验结果。</w:t>
      </w:r>
    </w:p>
    <w:p>
      <w:r>
        <w:br w:type="page"/>
      </w:r>
    </w:p>
    <w:p>
      <w:pPr>
        <w:pStyle w:val="Heading1"/>
        <w:keepNext/>
        <w:keepLines/>
        <w:widowControl/>
      </w:pPr>
      <w:r>
        <w:t>执行摘要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本方案面向当前MCS_QT系统最真实的控制矛盾：泵参数已经改变，但软管柔顺性、芯片流阻与串口事务使液滴响应滞后；同时，设备回读只说明泵参数，不代表到达芯片的流量。现有视觉链路已经具备等效直径、液滴体积、生成频率、平均速度、CV以及单滴过线时间，因此可以在不增加在线流量计的前提下构造物理一致的流量代理。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建议将方法命名为VISTA-MPC（Vision-Inferred State and Timestamp-Aligned Model Predictive Control）。VISTA首先通过质量守恒得到分散相和总流量软测量，再使用逐泵命令时间戳、独立延迟和一阶惯性重建芯片端有效流量状态；控制器在流量比r和总流量S坐标下预测直径与频率，并在现有硬约束内计算Q1/Q2命令。</w:t>
      </w:r>
    </w:p>
    <w:p>
      <w:pPr>
        <w:pStyle w:val="Heading2"/>
        <w:keepNext/>
        <w:keepLines/>
        <w:widowControl/>
      </w:pPr>
      <w:r>
        <w:t>论文的四项独立贡献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C1｜视觉物理软测量：由液滴体积×生成频率估计分散相有效流量，由通道面积×液滴速度估计总有效流量，并用称重法进行独立验证。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C2｜异步事务因果对齐：把Q1和Q2的实际写入/回读时刻分开建模，避免把串行更新错误地视为同步输入。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C3｜质量感知状态估计：根据有效液滴数、CV、速度样本数和无效比例动态调整观测协方差，视觉质量差时自动降低校正权重。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C4｜r-S坐标约束MPC：利用流量比主要调节尺寸、总流量主要调节频率的物理结构，同时保留完整耦合矩阵、泵边界、总流量、相位间隔和变化率约束。</w:t>
      </w:r>
    </w:p>
    <w:p>
      <w:pPr>
        <w:pStyle w:val="Heading2"/>
        <w:keepNext/>
        <w:keepLines/>
        <w:widowControl/>
      </w:pPr>
      <w:r>
        <w:t>实施边界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保留现有注射泵、相机、视觉算法、安全停机、BO和PI，不以压力泵为前置条件。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控制周期维持7.5–30秒，论文定位为大延迟、低成本注射泵系统，不宣称高速或亚秒控制。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没有称重或流量传感器验证前，只使用“视觉推断的有效流量状态”表述，不声称测得真实入口流量。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第一阶段只在稳定生成包络内工作，不宣称跨squeezing、dripping和jetting全流态控制。</w:t>
      </w:r>
    </w:p>
    <w:p>
      <w:pPr>
        <w:pStyle w:val="Heading2"/>
        <w:keepNext/>
        <w:keepLines/>
        <w:widowControl/>
      </w:pPr>
      <w:r>
        <w:t>文档导航</w:t>
      </w:r>
    </w:p>
    <w:p>
      <w:pPr>
        <w:keepNext w:val="0"/>
        <w:keepLines/>
        <w:numPr>
          <w:ilvl w:val="0"/>
          <w:numId w:val="12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当前系统基线与不可回避的缺口。</w:t>
      </w:r>
    </w:p>
    <w:p>
      <w:pPr>
        <w:keepNext w:val="0"/>
        <w:keepLines/>
        <w:numPr>
          <w:ilvl w:val="0"/>
          <w:numId w:val="12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科学问题、竞争边界和可证伪假设。</w:t>
      </w:r>
    </w:p>
    <w:p>
      <w:pPr>
        <w:keepNext w:val="0"/>
        <w:keepLines/>
        <w:numPr>
          <w:ilvl w:val="0"/>
          <w:numId w:val="12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VISTA-MPC模型、观测器、前馈、MPC与安全监督器。</w:t>
      </w:r>
    </w:p>
    <w:p>
      <w:pPr>
        <w:keepNext w:val="0"/>
        <w:keepLines/>
        <w:numPr>
          <w:ilvl w:val="0"/>
          <w:numId w:val="12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逐文件代码实施与测试计划。</w:t>
      </w:r>
    </w:p>
    <w:p>
      <w:pPr>
        <w:keepNext w:val="0"/>
        <w:keepLines/>
        <w:numPr>
          <w:ilvl w:val="0"/>
          <w:numId w:val="12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实验矩阵、统计方法、验收门和失败退路。</w:t>
      </w:r>
    </w:p>
    <w:p>
      <w:pPr>
        <w:keepNext w:val="0"/>
        <w:keepLines/>
        <w:numPr>
          <w:ilvl w:val="0"/>
          <w:numId w:val="12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论文图表、进度、风险与投稿就绪标准。</w:t>
      </w:r>
    </w:p>
    <w:p>
      <w:pPr>
        <w:pStyle w:val="Heading1"/>
        <w:keepNext/>
        <w:keepLines/>
        <w:widowControl/>
      </w:pPr>
      <w:r>
        <w:t>当前基础：能直接复用什么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方案基线为sjr@8c3d42b。当前工作树只存在未跟踪的test-artifacts目录；全量无硬件测试为267 passed。以下判断来自对当前代码路径的逐项审计，不是假设未来系统已经具备这些能力。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250"/>
        <w:gridCol w:w="2600"/>
        <w:gridCol w:w="2500"/>
        <w:gridCol w:w="3010"/>
      </w:tblGrid>
      <w:tr>
        <w:trPr>
          <w:tblHeader w:val="true"/>
          <w:cantSplit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子系统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当前已有证据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本方案如何复用</w:t>
            </w:r>
          </w:p>
        </w:tc>
        <w:tc>
          <w:tcPr>
            <w:tcW w:type="dxa" w:w="3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真实缺口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视觉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等效直径、CV、过线液滴、频率、平均速度、采集单调时间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直接生成软测量与质量权重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频率尚未严格按控制周期同步；速度缺少流量校正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动态标定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schema v3；Q1/Q2正负阶跃、组合阶跃、FOPDT、独立验证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作为延迟、时间常数和直径灵敏度初值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没有频率灵敏度、完整2×2矩阵和逐通道时间常数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PI控制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对数误差、灵敏度分配、局部权限、抗积分饱和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作为强基线及MPC失败后的无扰降级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只控制直径；调用路径硬编码为PI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安全BO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Q1/Q2约束、直径/可选频率、CV、无效比例、有限搜索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只用于冷启动和模型失效后的安全恢复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观测只存在于单次运行，尚无跨实验工作图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泵事务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双通道写入、读回、回滚、停机；事务起止时间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保留唯一硬件写入者和失败路径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没有Q1/Q2各自写入与回读时刻；回读不是物理流量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编排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run token、target revision、暂停/停止失效、过期周期不补跑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作为监督器和MPC生命周期框架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缺少PI/MPC策略路由和观测器重置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数据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PID SQLite、扰动数据和日志设施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沿用现有迁移、备份和写队列模式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PID表未保存周期频率、速度、CV、模型ID和观测器诊断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widowControl/>
      </w:pPr>
      <w:r>
        <w:t>当前系统的硬约束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4DF"/>
          <w:left w:val="single" w:sz="4" w:space="0" w:color="C8D4DF"/>
          <w:bottom w:val="single" w:sz="4" w:space="0" w:color="C8D4DF"/>
          <w:right w:val="single" w:sz="4" w:space="0" w:color="C8D4DF"/>
          <w:insideH w:val="single" w:sz="4" w:space="0" w:color="C8D4DF"/>
          <w:insideV w:val="single" w:sz="4" w:space="0" w:color="C8D4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C"/>
          </w:tcPr>
          <w:p>
            <w:pPr>
              <w:keepNext w:val="0"/>
              <w:keepLines/>
              <w:spacing w:before="60" w:after="60" w:line="276" w:lineRule="auto"/>
              <w:widowControl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不可规避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1200波特率下双通道写入与回读约需6秒，因此控制周期下限为7500 ms。所有动态模型、实验平台长度和预测时域必须以实测延迟为依据，不能把串口应答时间当作物理响应时间。</w:t>
            </w:r>
          </w:p>
        </w:tc>
      </w:tr>
    </w:tbl>
    <w:p>
      <w:pPr>
        <w:spacing w:after="0"/>
      </w:pP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Q1范围20–200 μL/min，Q2范围5–25 μL/min，总流量不超过225 μL/min，并保持Q1严格大于Q2及安全间隔。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Orchestrator必须继续作为唯一泵写入者；新增模型和控制器只能返回候选命令。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视觉比例尺未经可追溯标定时，不允许产生泵控制输出。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任何泵回读失败、部分事务或运行状态异常均继续触发现有安全停机，不能降级为另一个控制算法继续运行。</w:t>
      </w:r>
    </w:p>
    <w:p>
      <w:pPr>
        <w:pStyle w:val="Heading2"/>
        <w:keepNext/>
        <w:keepLines/>
        <w:widowControl/>
      </w:pPr>
      <w:r>
        <w:t>必须先修的两个基础缺口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第一，当前滚动频率来自近1秒过线间隔的中位数，与7.5–30秒控制周期并不严格对齐。MPC需要新增周期同步频率：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f_period,k = N_cross,k / (t_end,k − t_start,k)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第二，现有标定在累积30滴且变化低于阈值时可能提前判定弱响应；若物理延迟大于收集30滴所需时间，试验会在真实响应到达前结束。必须增加最短物理等待门：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t_wait,min ≥ θ_conservative = θ_median + θ_uncertainty</w:t>
      </w:r>
    </w:p>
    <w:p>
      <w:pPr>
        <w:pStyle w:val="Heading1"/>
        <w:keepNext/>
        <w:keepLines/>
        <w:widowControl/>
      </w:pPr>
      <w:r>
        <w:t>科学问题与创新边界</w:t>
      </w:r>
    </w:p>
    <w:p>
      <w:pPr>
        <w:pStyle w:val="Heading2"/>
        <w:keepNext/>
        <w:keepLines/>
        <w:widowControl/>
      </w:pPr>
      <w:r>
        <w:t>核心科学问题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4DF"/>
          <w:left w:val="single" w:sz="4" w:space="0" w:color="C8D4DF"/>
          <w:bottom w:val="single" w:sz="4" w:space="0" w:color="C8D4DF"/>
          <w:right w:val="single" w:sz="4" w:space="0" w:color="C8D4DF"/>
          <w:insideH w:val="single" w:sz="4" w:space="0" w:color="C8D4DF"/>
          <w:insideV w:val="single" w:sz="4" w:space="0" w:color="C8D4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8"/>
          </w:tcPr>
          <w:p>
            <w:pPr>
              <w:keepNext w:val="0"/>
              <w:keepLines/>
              <w:spacing w:before="60" w:after="60" w:line="276" w:lineRule="auto"/>
              <w:widowControl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 xml:space="preserve">研究问题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在没有在线流量计、双注射泵异步串行更新且芯片响应大幅滞后的条件下，能否利用视觉事件重建芯片端有效流量状态，并通过时间戳对齐的约束MPC显著改善液滴直径—频率联合跟踪？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widowControl/>
      </w:pPr>
      <w:r>
        <w:t>已有工作与本项目的竞争位置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350"/>
        <w:gridCol w:w="2380"/>
        <w:gridCol w:w="2380"/>
        <w:gridCol w:w="3250"/>
      </w:tblGrid>
      <w:tr>
        <w:trPr>
          <w:tblHeader w:val="true"/>
          <w:cantSplit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代表工作</w:t>
            </w:r>
          </w:p>
        </w:tc>
        <w:tc>
          <w:tcPr>
            <w:tcW w:type="dxa" w:w="2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已经解决</w:t>
            </w:r>
          </w:p>
        </w:tc>
        <w:tc>
          <w:tcPr>
            <w:tcW w:type="dxa" w:w="2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不能再声称</w:t>
            </w:r>
          </w:p>
        </w:tc>
        <w:tc>
          <w:tcPr>
            <w:tcW w:type="dxa" w:w="3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本项目的真实差距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Zeng 2015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低Ca T型流道的流量比—长度关系与PI闭环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首次按流量比控制液滴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十字流聚焦、异步双泵、视觉流量软测量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Crawford 2017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流聚焦图像反馈、压力泵、尺寸与频率控制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首次视觉液滴闭环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慢注射泵因果延迟重建与硬约束预测控制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Maddala 2013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MPC控制液滴网络相对间距和数字信号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首次在液滴系统使用MPC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生成区直径—频率性能控制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Moscato 2024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注射泵slug流的数据辨识与MPC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首次注射泵微流控MPC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独立双输入、视觉软测量和异步事务模型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Vicente 2024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流量计、观测器和多泵MPC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首次微流控状态估计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无需在线侵入式流量计，直接闭环液滴性能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DAFD 2021/2024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静态机器学习、逆向设计、跨几何/流体预测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代理模型或逆向推荐本身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动态延迟、因果闭环、运行时安全授权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Naz 2025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压力传感器闭环PI，CV降至3%以内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鲁棒压力PI本身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液滴视觉作为反馈并重建慢执行器状态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widowControl/>
      </w:pPr>
      <w:r>
        <w:t>论文应明确写出的非主张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不声称首次视觉闭环、首次液滴MPC或首次尺寸—频率联合控制。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不直接迁移T型流道公式系数；只复用流量比参数化，并在当前十字流道重新标定。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没有递归可行性证明时称“延迟与不确定度感知约束MPC”，不称严格鲁棒MPC。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三块同版芯片只证明制造重复性；只有加入不同几何并做整芯片留出，才能声称跨几何泛化。</w:t>
      </w:r>
    </w:p>
    <w:p>
      <w:pPr>
        <w:pStyle w:val="Heading1"/>
        <w:keepNext/>
        <w:keepLines/>
        <w:widowControl/>
      </w:pPr>
      <w:r>
        <w:t>可证伪研究假设与预注册阈值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以下阈值应在主实验开始前冻结。若未达到，必须降低论文主张或执行预先规定的退路，不能事后更换指标。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050"/>
        <w:gridCol w:w="2700"/>
        <w:gridCol w:w="3050"/>
        <w:gridCol w:w="2560"/>
      </w:tblGrid>
      <w:tr>
        <w:trPr>
          <w:tblHeader w:val="true"/>
          <w:cantSplit/>
        </w:trPr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假设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对照与主要指标</w:t>
            </w:r>
          </w:p>
        </w:tc>
        <w:tc>
          <w:tcPr>
            <w:tcW w:type="dxa" w:w="3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通过阈值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失败后的表述/退路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H1 软测量有效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Qd,vis与QΣ,vis对比独立称重换算流量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Qd MAPE≤8%；QΣ MAPE≤10%；报告95%一致性界限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只称流量代理，不称入口流量估计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H2 时间对齐有效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对齐模型 vs 把事务完成视为同步输入；独立动态序列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直径/频率一步预测NRMSE平均下降≥20%，簇自助95%CI不跨0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对齐只作为工程实现，不作为性能创新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H3 r-S坐标省样本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同自由度下(r,S) vs (Q1,Q2)；6/9/12/15点学习曲线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留出误差更低且条件数改善；直径MAPE≤8%、频率≤15%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只保留可解释性，不宣称样本效率提升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H4 完整控制器更优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VISTA-MPC vs Smith-PI与普通MPC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联合nITAE下降≥30%；调节时间下降≥25%；输入总变差增加≤10%；无硬约束违反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若只优于PI，则定位为工程改进而非新控制方法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H5 延迟变化稳健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长软管使延迟增加25%–50%，不重新辨识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比普通MPC的联合nITAE低≥25%，且正确降级/无流态失败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删除稳健性主张，保留名义条件结果</w:t>
            </w:r>
          </w:p>
        </w:tc>
      </w:tr>
    </w:tbl>
    <w:p>
      <w:pPr>
        <w:spacing w:after="0"/>
      </w:pPr>
    </w:p>
    <w:p>
      <w:pPr>
        <w:keepNext w:val="0"/>
        <w:keepLines/>
        <w:widowControl/>
      </w:pPr>
      <w:r>
        <w:rPr>
          <w:rFonts w:ascii="Calibri" w:hAnsi="Calibri" w:eastAsia="Microsoft YaHei"/>
          <w:i/>
          <w:color w:val="111111"/>
          <w:sz w:val="21"/>
        </w:rPr>
        <w:t>H2应增加一个负对照：随机打乱泵时间戳后重新拟合。如果“对齐优势”仍然存在，说明改善可能来自额外自由度而非正确的因果时间结构。</w:t>
      </w:r>
    </w:p>
    <w:p>
      <w:pPr>
        <w:pStyle w:val="Heading1"/>
        <w:keepNext/>
        <w:keepLines/>
        <w:widowControl/>
      </w:pPr>
      <w:r>
        <w:t>VISTA-MPC总体架构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96768"/>
            <wp:docPr id="1" name="Picture 1" descr="VISTA-MPC闭环架构：目标与离线模型经预测控制器驱动双泵事务和十字流聚焦芯片，视觉测量经软测量及时间戳对齐观测器反馈。" title="VISTA-MPC闭环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ta_mpc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40" w:after="160"/>
        <w:jc w:val="center"/>
        <w:widowControl/>
      </w:pPr>
      <w:r>
        <w:rPr>
          <w:rFonts w:ascii="Calibri" w:hAnsi="Calibri" w:eastAsia="Microsoft YaHei"/>
          <w:i/>
          <w:color w:val="5B6573"/>
          <w:sz w:val="18"/>
        </w:rPr>
        <w:t>图1  基于现有MCS_QT数据链路的VISTA-MPC架构。绿色路径为视觉软测量与状态反馈，蓝色路径为控制命令。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该架构不绕过现有安全层。BO负责首次可行工作点；静态逆模型负责目标变化时的一次性前馈；VISTA观测器负责延迟期间的状态重建；MPC负责局部闭环；PI负责模型不可信时的无扰接管。</w:t>
      </w:r>
    </w:p>
    <w:p>
      <w:pPr>
        <w:pStyle w:val="Heading1"/>
        <w:keepNext/>
        <w:keepLines/>
        <w:widowControl/>
      </w:pPr>
      <w:r>
        <w:t>视觉有效流量软测量</w:t>
      </w:r>
    </w:p>
    <w:p>
      <w:pPr>
        <w:pStyle w:val="Heading2"/>
        <w:keepNext/>
        <w:keepLines/>
        <w:widowControl/>
      </w:pPr>
      <w:r>
        <w:t>分散相流量：体积守恒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现有生成区检测已经给出等效直径，亦可根据通道几何和液滴塞长度计算体积。若使用等效球径：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V_d,k = π d_eq,k³ / 6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若Vd以μm³、频率f以s⁻¹表示，则分散相视觉软测量为：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Q_d,vis,k = 60 × 10⁻⁹ · V̄_d,k · f_period,k   [μL/min]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该关系来自单位换算和体积守恒，而不是经验回归。它要求每个周期使用新过线液滴，不能重复累计同一轨迹。</w:t>
      </w:r>
    </w:p>
    <w:p>
      <w:pPr>
        <w:pStyle w:val="Heading2"/>
        <w:keepNext/>
        <w:keepLines/>
        <w:widowControl/>
      </w:pPr>
      <w:r>
        <w:t>总流量：速度—面积关系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利用现有平均液滴速度Ud和有效通道面积Aeff构造总流量代理：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Q_Σ,vis,k = 60 × 10⁻⁹ · κ_U · A_eff · U_d,k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Q_c,vis,k = Q_Σ,vis,k − Q_d,vis,k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κU吸收液滴速度与截面平均流速差、润滑液膜和几何近似误差。它不能任意调参，应由独立稳态称重实验拟合，并在不同工作点留出验证。</w:t>
      </w:r>
    </w:p>
    <w:p>
      <w:pPr>
        <w:pStyle w:val="Heading2"/>
        <w:keepNext/>
        <w:keepLines/>
        <w:widowControl/>
      </w:pPr>
      <w:r>
        <w:t>有效面积与现有几何模型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当前生成区文档已经采用圆角矩形近似，可继续使用：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A_eff = H·W − (4−π)·(2/H + 2/W)⁻²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如果速度只能在下游观察区测量，Aeff必须使用对应观察区截面，而不是生成口截面；文档和数据表必须同时保存measurement_region。</w:t>
      </w:r>
    </w:p>
    <w:p>
      <w:pPr>
        <w:pStyle w:val="Heading2"/>
        <w:keepNext/>
        <w:keepLines/>
        <w:widowControl/>
      </w:pPr>
      <w:r>
        <w:t>质量感知观测不确定度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视觉输出质量随有效液滴数、CV、跟踪丢失和速度样本数变化。建议构造周期质量权重：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ω_k = min(1,n_k/n_ref) · exp(−CV_k/CV_ref) · (1−p_invalid,k)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R_k = R_0 / max(ω_k,ω_min)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ωk较小时观测器仍可预测，但减少视觉校正；连续低质量达到阈值后禁止MIMO MPC。参数R0不得凭感觉设定，应由重复稳态周期的经验方差得到。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4DF"/>
          <w:left w:val="single" w:sz="4" w:space="0" w:color="C8D4DF"/>
          <w:bottom w:val="single" w:sz="4" w:space="0" w:color="C8D4DF"/>
          <w:right w:val="single" w:sz="4" w:space="0" w:color="C8D4DF"/>
          <w:insideH w:val="single" w:sz="4" w:space="0" w:color="C8D4DF"/>
          <w:insideV w:val="single" w:sz="4" w:space="0" w:color="C8D4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C"/>
          </w:tcPr>
          <w:p>
            <w:pPr>
              <w:keepNext w:val="0"/>
              <w:keepLines/>
              <w:spacing w:before="60" w:after="60" w:line="276" w:lineRule="auto"/>
              <w:widowControl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统计注意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Qd,vis由直径和频率共同计算，若同一次滤波又把直径、频率当作独立观测，会重复使用信息。首版实现应以[Qd,vis,QΣ,vis]更新流量状态，再以直径/频率残差慢速更新输出偏置；如需联合更新，必须显式估计完整相关协方差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widowControl/>
      </w:pPr>
      <w:r>
        <w:t>逐泵时间戳对齐与动态模型</w:t>
      </w:r>
    </w:p>
    <w:p>
      <w:pPr>
        <w:pStyle w:val="Heading2"/>
        <w:keepNext/>
        <w:keepLines/>
        <w:widowControl/>
      </w:pPr>
      <w:r>
        <w:t>为什么事务级时间戳还不够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当前FlowUpdateResult只有整个事务的command_started_monotonic和readback_completed_monotonic。实际服务按Q1写入/回读、等待、Q2写入/回读的顺序执行，因此存在短暂的(Q1新,Q2旧)状态。将两泵都放在事务完成时刻会破坏输入—输出因果关系。</w:t>
      </w:r>
    </w:p>
    <w:p>
      <w:pPr>
        <w:pStyle w:val="CodeBlock"/>
        <w:shd w:fill="F2F4F7"/>
      </w:pPr>
      <w:r>
        <w:rPr>
          <w:rFonts w:ascii="Consolas" w:hAnsi="Consolas" w:eastAsia="Microsoft YaHei"/>
          <w:color w:val="0B2545"/>
          <w:sz w:val="17"/>
        </w:rPr>
        <w:t>Q1 command sent / verified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↓  transient interval: (Q1_new, Q2_old)</w:t>
      </w:r>
      <w:r>
        <w:br/>
      </w:r>
      <w:r>
        <w:rPr>
          <w:rFonts w:ascii="Consolas" w:hAnsi="Consolas" w:eastAsia="Microsoft YaHei"/>
          <w:color w:val="0B2545"/>
          <w:sz w:val="17"/>
        </w:rPr>
        <w:t>Q2 command sent / verified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↓  final command pair: (Q1_new, Q2_new)</w:t>
      </w:r>
      <w:r>
        <w:br/>
      </w:r>
      <w:r>
        <w:rPr>
          <w:rFonts w:ascii="Consolas" w:hAnsi="Consolas" w:eastAsia="Microsoft YaHei"/>
          <w:color w:val="0B2545"/>
          <w:sz w:val="17"/>
        </w:rPr>
        <w:t>independent transport delays θ1, θ2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↓</w:t>
      </w:r>
      <w:r>
        <w:br/>
      </w:r>
      <w:r>
        <w:rPr>
          <w:rFonts w:ascii="Consolas" w:hAnsi="Consolas" w:eastAsia="Microsoft YaHei"/>
          <w:color w:val="0B2545"/>
          <w:sz w:val="17"/>
        </w:rPr>
        <w:t>match to droplet capture and crossing timestamps</w:t>
      </w:r>
    </w:p>
    <w:p>
      <w:pPr>
        <w:pStyle w:val="Heading2"/>
        <w:keepNext/>
        <w:keepLines/>
        <w:widowControl/>
      </w:pPr>
      <w:r>
        <w:t>需要新增的泵时间字段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q1_command_started_monotonic、q1_readback_completed_monotonic。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q2_command_started_monotonic、q2_readback_completed_monotonic。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每个通道的目标值、验证值和事务ID。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只有成功验证的命令才进入观测器；部分事务继续走现有停机/回滚路径。</w:t>
      </w:r>
    </w:p>
    <w:p>
      <w:pPr>
        <w:pStyle w:val="Heading2"/>
        <w:keepNext/>
        <w:keepLines/>
        <w:widowControl/>
      </w:pPr>
      <w:r>
        <w:t>可变步长一阶延迟模型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对每个流量通道j∈{1,2}，使用实测时间差Δt进行精确离散：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a_j(Δt) = exp(−Δt/τ_j)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q̂_j(t+Δt) = a_j q̂_j(t) + (1−a_j)u_j(t−θ_j) + w_j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命令队列按逐通道时间戳分段传播，而不是按固定控制周期假设同步输入。暂停、停止、重新配置、泵事务失败和run generation变化时必须清空队列。</w:t>
      </w:r>
    </w:p>
    <w:p>
      <w:pPr>
        <w:pStyle w:val="Heading1"/>
        <w:keepNext/>
        <w:keepLines/>
        <w:widowControl/>
      </w:pPr>
      <w:r>
        <w:t>流量状态观测器</w:t>
      </w:r>
    </w:p>
    <w:p>
      <w:pPr>
        <w:pStyle w:val="Heading2"/>
        <w:keepNext/>
        <w:keepLines/>
        <w:widowControl/>
      </w:pPr>
      <w:r>
        <w:t>状态与观测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首版建议使用低阶、可解释的扩展卡尔曼滤波，而不是复杂神经状态空间或MHE。状态为：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x_k = [ln Q_c,eff, ln Q_d,eff, b_d, b_f]ᵀ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其中bd和bf是直径、频率模型的慢变偏置。流量状态由Qd,vis和QΣ,vis更新，输出偏置由静态模型残差低带宽更新。</w:t>
      </w:r>
    </w:p>
    <w:p>
      <w:pPr>
        <w:pStyle w:val="Heading2"/>
        <w:keepNext/>
        <w:keepLines/>
        <w:widowControl/>
      </w:pPr>
      <w:r>
        <w:t>部分观测与失效处理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体积与频率有效、速度无效：只更新Qd,eff，QΣ保持预测；短期允许直径SISO控制。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速度有效但周期液滴不足：不生成Qd,vis，降低总流量观测权重。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全部视觉量无效：仅预测，冻结新控制输出；超过规定周期后降级或停机。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归一化创新平方NIS连续超阈值：判定模型失配，退出MPC并由PI接管。</w:t>
      </w:r>
    </w:p>
    <w:p>
      <w:pPr>
        <w:pStyle w:val="Heading2"/>
        <w:keepNext/>
        <w:keepLines/>
        <w:widowControl/>
      </w:pPr>
      <w:r>
        <w:t>语义边界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4DF"/>
          <w:left w:val="single" w:sz="4" w:space="0" w:color="C8D4DF"/>
          <w:bottom w:val="single" w:sz="4" w:space="0" w:color="C8D4DF"/>
          <w:right w:val="single" w:sz="4" w:space="0" w:color="C8D4DF"/>
          <w:insideH w:val="single" w:sz="4" w:space="0" w:color="C8D4DF"/>
          <w:insideV w:val="single" w:sz="4" w:space="0" w:color="C8D4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BEC"/>
          </w:tcPr>
          <w:p>
            <w:pPr>
              <w:keepNext w:val="0"/>
              <w:keepLines/>
              <w:spacing w:before="60" w:after="60" w:line="276" w:lineRule="auto"/>
              <w:widowControl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必须坚持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在H1独立称重验证通过前，代码字段和论文均使用estimated_effective_flow或vision_inferred_flow，不使用actual_flow或measured_flow。设备RSP回读继续标记为device_parameter_estimate。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widowControl/>
      </w:pPr>
      <w:r>
        <w:t>十字流道静态工作图与一次性前馈</w:t>
      </w:r>
    </w:p>
    <w:p>
      <w:pPr>
        <w:pStyle w:val="Heading2"/>
        <w:keepNext/>
        <w:keepLines/>
        <w:widowControl/>
      </w:pPr>
      <w:r>
        <w:t>物理坐标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r = Q_d/Q_c,      S = Q_c + Q_d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Q_c = S/(1+r),      Q_d = rS/(1+r)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T型流道低Ca线性公式只作为基线。当前十字流聚焦芯片采用自己的小样本响应面：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x = ln(r/r₀),   s = ln(S/S₀)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ln(d/d₀) = β₁x + β₂s + β₃x² + β₄xs + β₅s²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ln(f/f₀) = γ₁x + γ₂s + γ₃x² + γ₄xs + γ₅s²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使用NumPy岭回归即可。模型自由度固定，验证必须按整次实验或整块芯片留出，禁止把同一视频中的单滴随机拆分。</w:t>
      </w:r>
    </w:p>
    <w:p>
      <w:pPr>
        <w:pStyle w:val="Heading2"/>
        <w:keepNext/>
        <w:keepLines/>
        <w:widowControl/>
      </w:pPr>
      <w:r>
        <w:t>15点安全设计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r/r₀ ∈ {0.80,0.90,1.00,1.10,1.20},   S/S₀ ∈ {0.85,1.00,1.15}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r0和S0来自现有安全BO确认工作点。候选点先转换为Q1/Q2，再依次过滤泵边界、Q1&gt;Q2安全间隔、总流量、局部授权范围和稳定生成包络。试验顺序采用分块随机化，并生成安全中间航点，不能在远距离候选之间直接跳变。</w:t>
      </w:r>
    </w:p>
    <w:p>
      <w:pPr>
        <w:pStyle w:val="Heading2"/>
        <w:keepNext/>
        <w:keepLines/>
        <w:widowControl/>
      </w:pPr>
      <w:r>
        <w:t>逆向工作点推荐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J_ff = w_d ê_d² + w_f ê_f² + w_m‖Q−Q_current‖² + w_σ σ_model²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在有效(r,S)域内生成约10000个候选点进行向量化评分即可，无需复杂求解器。推荐器只返回候选Q1/Q2、预测d/f、不确定度、模型ID和拒绝原因。前馈只在目标改变时执行一次安全斜坡，之后交给观测器和闭环控制。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4DF"/>
          <w:left w:val="single" w:sz="4" w:space="0" w:color="C8D4DF"/>
          <w:bottom w:val="single" w:sz="4" w:space="0" w:color="C8D4DF"/>
          <w:right w:val="single" w:sz="4" w:space="0" w:color="C8D4DF"/>
          <w:insideH w:val="single" w:sz="4" w:space="0" w:color="C8D4DF"/>
          <w:insideV w:val="single" w:sz="4" w:space="0" w:color="C8D4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C"/>
          </w:tcPr>
          <w:p>
            <w:pPr>
              <w:keepNext w:val="0"/>
              <w:keepLines/>
              <w:spacing w:before="60" w:after="60" w:line="276" w:lineRule="auto"/>
              <w:widowControl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因果区分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现有feedforward.py处理的是具有提前量的外生扰动信号；目标反算工作点属于setpoint feedforward。二者不能合并为同一个模块或同一创新。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widowControl/>
      </w:pPr>
      <w:r>
        <w:t>直径—频率约束MPC</w:t>
      </w:r>
    </w:p>
    <w:p>
      <w:pPr>
        <w:pStyle w:val="Heading2"/>
        <w:keepNext/>
        <w:keepLines/>
        <w:widowControl/>
      </w:pPr>
      <w:r>
        <w:t>输入、输出与模型授权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控制输入仍是Q1/Q2；模型内部使用(r,S)及其局部线性化。输出为直径和周期同步频率。只有schema v4同时通过静态、动态和独立验证后才授权MPC。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y_k = [ln(d_k/d*) , ln(f_k/f*)]ᵀ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u_k = [Q₁,k , Q₂,k]ᵀ</w:t>
      </w:r>
    </w:p>
    <w:p>
      <w:pPr>
        <w:pStyle w:val="Heading2"/>
        <w:keepNext/>
        <w:keepLines/>
        <w:widowControl/>
      </w:pPr>
      <w:r>
        <w:t>优化目标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J = Σ(yᵢ−y*)ᵀQ_y(yᵢ−y*) + ΣΔuᵢᵀR_ΔuΔuᵢ + ρ‖ε‖₁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ε仅用于输出跟踪软约束；泵量程、总流量、相位间隔和单周期变化率保持硬约束，不允许使用松弛变量突破。</w:t>
      </w:r>
    </w:p>
    <w:p>
      <w:pPr>
        <w:pStyle w:val="Heading2"/>
        <w:keepNext/>
        <w:keepLines/>
        <w:widowControl/>
      </w:pPr>
      <w:r>
        <w:t>硬约束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20≤Q1≤200 μL/min，5≤Q2≤25 μL/min。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Q1−Q2≥STRICT_Q1_Q2_GAP_UL_MIN。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Q1+Q2≤225 μL/min。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|ΔQj|不超过当前配置和模型局部权限的更严格值。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r和S不得超出被提升的静态工作图有效域。</w:t>
      </w:r>
    </w:p>
    <w:p>
      <w:pPr>
        <w:pStyle w:val="Heading2"/>
        <w:keepNext/>
        <w:keepLines/>
        <w:widowControl/>
      </w:pPr>
      <w:r>
        <w:t>求解器与时域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N_p = clip(ceil((θ + 4τ)/T_s), 5, 12),      N_c ∈ {2,3}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建议新增可选control依赖scipy&gt;=1.11,&lt;2和osqp&gt;=0.6.5,&lt;2。OSQP设置迭代和时间上限；求解结果返回后由独立约束检查器再次验证。求解超时、不可行、NaN或检查失败均不发送命令。</w:t>
      </w:r>
    </w:p>
    <w:p>
      <w:pPr>
        <w:pStyle w:val="Heading1"/>
        <w:keepNext/>
        <w:keepLines/>
        <w:widowControl/>
      </w:pPr>
      <w:r>
        <w:t>安全监督器与无扰降级</w:t>
      </w:r>
    </w:p>
    <w:p>
      <w:pPr>
        <w:pStyle w:val="CodeBlock"/>
        <w:shd w:fill="F2F4F7"/>
      </w:pPr>
      <w:r>
        <w:rPr>
          <w:rFonts w:ascii="Consolas" w:hAnsi="Consolas" w:eastAsia="Microsoft YaHei"/>
          <w:color w:val="0B2545"/>
          <w:sz w:val="17"/>
        </w:rPr>
        <w:t>PI_ONLY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→ MODEL_FEEDFORWARD_RAMP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→ SETTLING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→ OBSERVER_WARMUP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→ MPC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→ PI_FALLBACK / SAFE_STOP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MPC降级为PI时，应以当前验证Q1/Q2调用现有set_operating_point()，并同步清零或回算积分项，实现无扰接管。泵通讯失败不是控制器降级条件，而是硬件安全停机条件。</w:t>
      </w: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0"/>
        <w:gridCol w:w="3300"/>
        <w:gridCol w:w="1600"/>
        <w:gridCol w:w="1910"/>
      </w:tblGrid>
      <w:tr>
        <w:trPr>
          <w:tblHeader w:val="true"/>
          <w:cantSplit/>
        </w:trPr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触发条件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监督器动作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允许继续输液</w:t>
            </w:r>
          </w:p>
        </w:tc>
        <w:tc>
          <w:tcPr>
            <w:tcW w:type="dxa" w:w="1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需要重新标定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频率短时缺失、直径有效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退出MIMO，进入直径SISO/PI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是，保持当前安全点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持续出现时需要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NIS连续超限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MPC→PI；冻结模型在线更新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是，若视觉和泵状态正常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目标超出模型域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拒绝前馈和MPC；提示运行BO/新标定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仅保持当前点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MPC超时或不可行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丢弃解，PI无扰接管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是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重复出现时需要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视觉比例尺未验证或结果过期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冻结新命令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短时保持当前点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视原因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泵部分事务、回读失败、通道停止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沿用现有回滚/安全停机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否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排障后重新初始化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widowControl/>
      </w:pPr>
      <w:r>
        <w:t>逐文件代码实施方案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新增模块保持纯计算和可测试性；前端不得直接访问泵、观测器或MPC。以下路径均相对于E:/MCS_QT。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00"/>
        <w:gridCol w:w="3850"/>
        <w:gridCol w:w="291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文件/目录</w:t>
            </w:r>
          </w:p>
        </w:tc>
        <w:tc>
          <w:tcPr>
            <w:tcW w:type="dxa" w:w="3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新增或修改内容</w:t>
            </w:r>
          </w:p>
        </w:tc>
        <w:tc>
          <w:tcPr>
            <w:tcW w:type="dxa" w:w="2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与现有代码的接入点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backend/operating_model/models.py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CrossJunctionContext、OperatingBatch、OperatingMapRecord、OperatingPointRecommendation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接收现有RecognitionSnapshot与验证泵状态，不直接访问硬件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backend/operating_model/design.py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RSExperimentDesign；15点设计、安全过滤、中间航点、随机化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复用PIDConfig边界和STRICT_Q1_Q2_GAP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backend/operating_model/response_surface.py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r-S二次岭回归、整批验证、置信区间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使用NumPy；结果需显式promote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backend/operating_model/inverse_solver.py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目标d/f→Q1/Q2候选；禁止外推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目标改变时由监督器调用一次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backend/operating_model/storage.py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contexts、batches、models三表及迁移/备份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沿用现有SQLite写队列和schema版本策略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backend/pid_control/flow_observer.py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VISTAFlowObserver、逐通道延迟队列、质量感知EKF/NIS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命令成功后登记；按capture_monotonic更新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backend/pid_control/diameter_frequency_mpc.py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MPCConfig/Input/Command；OSQP与独立约束复核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只返回候选Q1/Q2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backend/pid_control/predictive_supervisor.py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模式状态机、前馈斜坡、warm-up、PI降级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由Orchestrator持有；不写泵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backend/vision/metrics.py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周期起止时间、周期频率、过线间隔方差、速度质量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保留当前滚动频率用于显示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backend/orchestrator/models.py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target_frequency_hz、周期测量、VISTA/MPC诊断字段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保持旧调用兼容，频率目标可为空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backend/pid_control/calibration*.py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schema v4；频率灵敏度、双通道τ、2×2矩阵、条件数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旧v1–v3可读但不能授权新MPC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backend/pump_hardware/models.py/service.py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Q1/Q2各自命令与读回时间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不改变现有失败回滚和停机语义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backend/orchestrator/service.py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策略路由、命令登记、生命周期reset、统一约束终检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替代当前硬编码PID调用点；仍是唯一写入者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backend/orchestrator/pid_database.py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频率、速度、CV、模型ID、估计流量、NIS、求解时间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用于实验导出和复现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frontend/qt_app.py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可选目标频率、控制策略、模型状态和estimated标签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仅调用Orchestrator公开接口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widowControl/>
      </w:pPr>
      <w:r>
        <w:t>建议的公开接口</w:t>
      </w:r>
    </w:p>
    <w:p>
      <w:pPr>
        <w:pStyle w:val="CodeBlock"/>
        <w:shd w:fill="F2F4F7"/>
      </w:pPr>
      <w:r>
        <w:rPr>
          <w:rFonts w:ascii="Consolas" w:hAnsi="Consolas" w:eastAsia="Microsoft YaHei"/>
          <w:color w:val="0B2545"/>
          <w:sz w:val="17"/>
        </w:rPr>
        <w:t>SystemOrchestrator.run_operating_map_experiment(config)</w:t>
      </w:r>
      <w:r>
        <w:br/>
      </w:r>
      <w:r>
        <w:rPr>
          <w:rFonts w:ascii="Consolas" w:hAnsi="Consolas" w:eastAsia="Microsoft YaHei"/>
          <w:color w:val="0B2545"/>
          <w:sz w:val="17"/>
        </w:rPr>
        <w:t>SystemOrchestrator.update_control_target(diameter_um, frequency_hz=None)</w:t>
      </w:r>
      <w:r>
        <w:br/>
      </w:r>
      <w:r>
        <w:rPr>
          <w:rFonts w:ascii="Consolas" w:hAnsi="Consolas" w:eastAsia="Microsoft YaHei"/>
          <w:color w:val="0B2545"/>
          <w:sz w:val="17"/>
        </w:rPr>
        <w:t>PredictiveControlSupervisor.step(observation) -&gt; ControlDecision</w:t>
      </w:r>
      <w:r>
        <w:br/>
      </w:r>
      <w:r>
        <w:rPr>
          <w:rFonts w:ascii="Consolas" w:hAnsi="Consolas" w:eastAsia="Microsoft YaHei"/>
          <w:color w:val="0B2545"/>
          <w:sz w:val="17"/>
        </w:rPr>
        <w:t>PredictiveControlSupervisor.notify_command_applied(flow_update_result)</w:t>
      </w:r>
      <w:r>
        <w:br/>
      </w:r>
      <w:r>
        <w:rPr>
          <w:rFonts w:ascii="Consolas" w:hAnsi="Consolas" w:eastAsia="Microsoft YaHei"/>
          <w:color w:val="0B2545"/>
          <w:sz w:val="17"/>
        </w:rPr>
        <w:t>VISTAFlowObserver.record_verified_command(channel, value, timestamp)</w:t>
      </w:r>
      <w:r>
        <w:br/>
      </w:r>
      <w:r>
        <w:rPr>
          <w:rFonts w:ascii="Consolas" w:hAnsi="Consolas" w:eastAsia="Microsoft YaHei"/>
          <w:color w:val="0B2545"/>
          <w:sz w:val="17"/>
        </w:rPr>
        <w:t>VISTAFlowObserver.update(measurement) -&gt; ObserverEstimate</w:t>
      </w:r>
    </w:p>
    <w:p>
      <w:pPr>
        <w:pStyle w:val="Heading2"/>
        <w:keepNext/>
        <w:keepLines/>
        <w:widowControl/>
      </w:pPr>
      <w:r>
        <w:t>实施原则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先在录制数据回放和仿真中运行shadow模式，记录建议命令但不发泵。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再以现有PI为主控制器，MPC仅在模型、观测器和求解器全部授权时取得控制权。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新路径最终命令必须调用统一的_require_valid_phase_flows并补充总流量复核。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每次生命周期变化都重置命令队列、观测器、MPC热启动和模型上下文。</w:t>
      </w:r>
    </w:p>
    <w:p>
      <w:pPr>
        <w:pStyle w:val="Heading1"/>
        <w:keepNext/>
        <w:keepLines/>
        <w:widowControl/>
      </w:pPr>
      <w:r>
        <w:t>软件测试与验收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测试文件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必须覆盖的回归场景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test_operating_model_design.py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r/S互换、全部边界、随机化复现、安全航点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test_operating_model_storage.py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上下文隔离、迁移、事务、数据集哈希、显式提升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test_cross_junction_response_surface.py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合成系数恢复、整重复留出、覆盖不足和外推拒绝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test_operating_point_recommender.py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单/双目标、保持S、移动/不确定度惩罚、无安全解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test_period_frequency.py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周期频率、多滴同帧、零滴、漏周期、时间戳边界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test_mimo_calibration.py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完整灵敏度矩阵、延迟/τ、病态矩阵拒绝、最短等待门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test_flow_observer.py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异步命令、延迟激活、部分/乱序测量、NIS、reset清队列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test_diameter_frequency_mpc.py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跟踪、全预测域约束、总流量、变化率、超时/NaN/不可行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test_predictive_control_supervisor.py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前馈一次性、阶段切换、PI无扰接管、目标竞态和停机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现有集成测试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control stack、pump interaction、target step、PID DB、Qt布局、标定实验</w:t>
            </w:r>
          </w:p>
        </w:tc>
      </w:tr>
    </w:tbl>
    <w:p>
      <w:pPr>
        <w:spacing w:after="0"/>
      </w:pP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所有控制、线程和公共流程变更完成后运行完整pytest；测试必须使用mock泵、录制视觉数据或合成模型，不默认连接真实相机和串口。</w:t>
      </w:r>
    </w:p>
    <w:p>
      <w:pPr>
        <w:pStyle w:val="Heading1"/>
        <w:keepNext/>
        <w:keepLines/>
        <w:widowControl/>
      </w:pPr>
      <w:r>
        <w:t>实验实施方案</w:t>
      </w:r>
    </w:p>
    <w:p>
      <w:pPr>
        <w:pStyle w:val="Heading2"/>
        <w:keepNext/>
        <w:keepLines/>
        <w:widowControl/>
      </w:pPr>
      <w:r>
        <w:t>阶段0：视觉计量验证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选择覆盖小、中、大液滴及一个高CV边界点的4个工作点。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每个工作点采集3段独立视频，每段至少50滴，共12段。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由不知道算法结果的人工标注者测量直径/长度；报告偏差、MAE及Bland–Altman一致性界限。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检查液滴速度、过线计数和频率在重复视频中的一致性。</w:t>
      </w:r>
    </w:p>
    <w:p>
      <w:pPr>
        <w:pStyle w:val="Heading2"/>
        <w:keepNext/>
        <w:keepLines/>
        <w:widowControl/>
      </w:pPr>
      <w:r>
        <w:t>阶段1：静态工作图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使用3块名义相同芯片，每块完成15个r-S点，并额外重复中心点3次检查漂移，共54个批次。每批至少50个新过线液滴；试验跨2天分块安排。</w:t>
      </w:r>
    </w:p>
    <w:p>
      <w:pPr>
        <w:pStyle w:val="Heading2"/>
        <w:keepNext/>
        <w:keepLines/>
        <w:widowControl/>
      </w:pPr>
      <w:r>
        <w:t>阶段2：动态辨识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每块芯片执行两条正交多级序列：一条保持S近似恒定、主要激励log r；另一条保持r近似恒定、主要激励log S。每条18–24个平台，每个平台至少获得50滴且持续至θ+3τ。</w:t>
      </w:r>
    </w:p>
    <w:p>
      <w:pPr>
        <w:pStyle w:val="Heading2"/>
        <w:keepNext/>
        <w:keepLines/>
        <w:widowControl/>
      </w:pPr>
      <w:r>
        <w:t>阶段3：主闭环和消融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5260"/>
        <w:gridCol w:w="190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实验块</w:t>
            </w:r>
          </w:p>
        </w:tc>
        <w:tc>
          <w:tcPr>
            <w:tcW w:type="dxa" w:w="5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设计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数量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主闭环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4种控制器×2种目标序列×6个芯片—日区组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48次独立运行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延迟压力测试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Smith-PI、普通MPC、VISTA-MPC×长软管×6区组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18次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静态前馈消融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完整VISTA-MPC有/无逆模型前馈×大阶跃×6区组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12次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长时间稳定性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标定PI与VISTA-MPC各运行2小时×3区组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12小时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widowControl/>
      </w:pPr>
      <w:r>
        <w:t>四种主控制器</w:t>
      </w:r>
    </w:p>
    <w:p>
      <w:pPr>
        <w:keepNext w:val="0"/>
        <w:keepLines/>
        <w:numPr>
          <w:ilvl w:val="0"/>
          <w:numId w:val="13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当前schema-v3标定PI。</w:t>
      </w:r>
    </w:p>
    <w:p>
      <w:pPr>
        <w:keepNext w:val="0"/>
        <w:keepLines/>
        <w:numPr>
          <w:ilvl w:val="0"/>
          <w:numId w:val="13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Smith预测PI：使用同一延迟和动态模型。</w:t>
      </w:r>
    </w:p>
    <w:p>
      <w:pPr>
        <w:keepNext w:val="0"/>
        <w:keepLines/>
        <w:numPr>
          <w:ilvl w:val="0"/>
          <w:numId w:val="13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普通MIMO MPC：同一时域、约束和输出权重，但不使用视觉软测量和逐泵时间对齐。</w:t>
      </w:r>
    </w:p>
    <w:p>
      <w:pPr>
        <w:keepNext w:val="0"/>
        <w:keepLines/>
        <w:numPr>
          <w:ilvl w:val="0"/>
          <w:numId w:val="13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完整VISTA-MPC。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目标值不得事后挑选。先在安全工作图中取可实现输出的30%、50%和70%分位；序列A以直径上下阶跃为主并保持频率，序列B以频率阶跃为主并包含一次耦合目标。</w:t>
      </w:r>
    </w:p>
    <w:p>
      <w:pPr>
        <w:pStyle w:val="Heading2"/>
        <w:keepNext/>
        <w:keepLines/>
        <w:widowControl/>
      </w:pPr>
      <w:r>
        <w:t>低成本流量参考验证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在线不增加流量计，但H1必须有独立参考。建议每路注射器分别在足够长的稳态窗口前后称重，根据流体密度换算平均流量；使用0.1 mg或更高分辨率天平，并通过延长采样时间使质量变化远大于分辨率。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Q_ref = 60 · Δm / (ρ · Δt)    [μL/min]，其中ρ以mg/μL表示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若天平精度或蒸发控制不足，应保留VISTA作为“物理一致的流量代理状态”，删除真实流量精度主张。</w:t>
      </w:r>
    </w:p>
    <w:p>
      <w:pPr>
        <w:pStyle w:val="Heading1"/>
        <w:keepNext/>
        <w:keepLines/>
        <w:widowControl/>
      </w:pPr>
      <w:r>
        <w:t>统计分析计划</w:t>
      </w:r>
    </w:p>
    <w:p>
      <w:pPr>
        <w:pStyle w:val="Heading2"/>
        <w:keepNext/>
        <w:keepLines/>
        <w:widowControl/>
      </w:pPr>
      <w:r>
        <w:t>实验单位与随机化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实验单位是一次独立运行或一次目标转换，不是单个液滴；不能把数千液滴当作数千个独立样本。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控制器顺序在每个芯片—日区组内使用平衡Latin方随机化，每次从同一基准点恢复。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模型训练/测试按完整运行、芯片或日期分组切分，禁止同一视频内随机拆滴。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先完成3个区组的盲化先导试验，只估计方差，不查看效应方向；再按80%功效和双侧α=0.05调整到6–10个区组。</w:t>
      </w:r>
    </w:p>
    <w:p>
      <w:pPr>
        <w:pStyle w:val="Heading2"/>
        <w:keepNext/>
        <w:keepLines/>
        <w:widowControl/>
      </w:pPr>
      <w:r>
        <w:t>主要终点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nITAE = ∫ t·(|e_d|/d* + |e_f|/f*)dt / T²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预先限定两个主要比较：VISTA-MPC vs Smith-PI、VISTA-MPC vs普通MPC。主要终点为联合nITAE；次要终点为调节时间、超调、稳态误差、CV、泵命令总变差、无效液滴率和约束违反次数。</w:t>
      </w:r>
    </w:p>
    <w:p>
      <w:pPr>
        <w:pStyle w:val="Heading2"/>
        <w:keepNext/>
        <w:keepLines/>
        <w:widowControl/>
      </w:pPr>
      <w:r>
        <w:t>统计模型</w:t>
      </w:r>
    </w:p>
    <w:p>
      <w:pPr>
        <w:pStyle w:val="EquationBlock"/>
        <w:keepNext w:val="0"/>
        <w:keepLines/>
        <w:widowControl/>
      </w:pPr>
      <w:r>
        <w:rPr>
          <w:rFonts w:ascii="Cambria Math" w:hAnsi="Cambria Math" w:eastAsia="Cambria Math"/>
          <w:color w:val="0B2545"/>
          <w:sz w:val="21"/>
        </w:rPr>
        <w:t>log(nITAE) ~ controller × scenario + order + (1|chip) + (1|day)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主要比较以差值或比值、95%置信区间和效应量报告；二级比较使用Holm校正。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未在规定时间内稳定的试验属于右删失，不删除；调节时间采用生存分析或加速失效模型。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无效液滴和流态失败使用混合效应logistic或beta-binomial模型。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CV使用运行级指标，并以运行/芯片为簇进行自助法置信区间。</w:t>
      </w:r>
    </w:p>
    <w:p>
      <w:pPr>
        <w:pStyle w:val="Heading1"/>
        <w:keepNext/>
        <w:keepLines/>
        <w:widowControl/>
      </w:pPr>
      <w:r>
        <w:t>分阶段决策门与停止规则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00"/>
        <w:gridCol w:w="4200"/>
        <w:gridCol w:w="35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决策门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进入条件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不通过时的动作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G0 视觉可信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直径计量偏差可接受；周期计数/速度重复性稳定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先修视觉与标尺，不进入软测量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G1 静态工作图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独立批次直径MAPE≤8%、频率≤15%；模型域覆盖目标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保留BO+PI，不做逆模型前馈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G2 软测量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H1达到预注册阈值，或至少显示稳定单调代理关系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只使用Qd=Vf或退回直径SISO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G3 时间对齐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H2通过且随机时间戳负对照优势消失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不把时间对齐列为论文创新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G4 MIMO可辨识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2×2灵敏度矩阵条件数&lt;30且符号重复稳定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固定S，只做直径SISO延迟控制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G5 闭环优势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H4通过，无硬约束违反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分析瓶颈；不得扩大实验或包装阴性结果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G6 延迟稳健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H5通过并正确降级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删除稳健性主张，报告名义模型结果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widowControl/>
      </w:pPr>
      <w:r>
        <w:t>十四周执行计划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950"/>
        <w:gridCol w:w="2500"/>
        <w:gridCol w:w="3300"/>
        <w:gridCol w:w="2610"/>
      </w:tblGrid>
      <w:tr>
        <w:trPr>
          <w:tblHeader w:val="true"/>
          <w:cantSplit/>
        </w:trPr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周次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工作包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可交付物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验收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1–2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周期同步频率、逐泵时间戳、数据库字段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schema草案、迁移和回归测试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不改变现有PI行为；全量测试通过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视觉计量与称重方案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12段验证数据、误差报告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通过G0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4–5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r-S实验设计、存储、响应面、逆解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54批静态数据与被提升模型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通过G1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schema v4动态辨识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频率灵敏度、逐通道θ/τ、条件数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通过G4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7–8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VISTA软测量和时间戳观测器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回放/仿真结果、H1/H2分析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通过G2/G3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9–10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约束MPC和监督器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shadow模式、PI降级、求解器诊断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无硬件命令越界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11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低权重现场试运行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逐步放权记录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通讯与生命周期故障均安全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12–13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主闭环、延迟和长时实验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冻结数据集和分析脚本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通过G5/G6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14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统计、图表和论文初稿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可复现包、图表、方法稿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所有主张可追溯到预注册结果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widowControl/>
      </w:pPr>
      <w:r>
        <w:t>论文组织与预期图表</w:t>
      </w:r>
    </w:p>
    <w:p>
      <w:pPr>
        <w:pStyle w:val="Heading2"/>
        <w:keepNext/>
        <w:keepLines/>
        <w:widowControl/>
      </w:pPr>
      <w:r>
        <w:t>建议题目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4DF"/>
          <w:left w:val="single" w:sz="4" w:space="0" w:color="C8D4DF"/>
          <w:bottom w:val="single" w:sz="4" w:space="0" w:color="C8D4DF"/>
          <w:right w:val="single" w:sz="4" w:space="0" w:color="C8D4DF"/>
          <w:insideH w:val="single" w:sz="4" w:space="0" w:color="C8D4DF"/>
          <w:insideV w:val="single" w:sz="4" w:space="0" w:color="C8D4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8"/>
          </w:tcPr>
          <w:p>
            <w:pPr>
              <w:keepNext w:val="0"/>
              <w:keepLines/>
              <w:spacing w:before="60" w:after="60" w:line="276" w:lineRule="auto"/>
              <w:widowControl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 xml:space="preserve">英文题目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Vision-Inferred State and Timestamp-Aligned Predictive Control for Delayed Syringe-Pump Droplet Microfluidics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widowControl/>
      </w:pPr>
      <w:r>
        <w:t>论文叙事</w:t>
      </w:r>
    </w:p>
    <w:p>
      <w:pPr>
        <w:keepNext w:val="0"/>
        <w:keepLines/>
        <w:numPr>
          <w:ilvl w:val="0"/>
          <w:numId w:val="14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揭示现有系统中的测量—执行错位：泵参数回读不等于芯片端流量，且串行双泵命令不是同步输入。</w:t>
      </w:r>
    </w:p>
    <w:p>
      <w:pPr>
        <w:keepNext w:val="0"/>
        <w:keepLines/>
        <w:numPr>
          <w:ilvl w:val="0"/>
          <w:numId w:val="14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基于视觉体积、频率和速度提出物理一致流量软测量，并用独立称重验证。</w:t>
      </w:r>
    </w:p>
    <w:p>
      <w:pPr>
        <w:keepNext w:val="0"/>
        <w:keepLines/>
        <w:numPr>
          <w:ilvl w:val="0"/>
          <w:numId w:val="14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提出逐泵时间戳对齐的有效流量观测器和质量感知协方差。</w:t>
      </w:r>
    </w:p>
    <w:p>
      <w:pPr>
        <w:keepNext w:val="0"/>
        <w:keepLines/>
        <w:numPr>
          <w:ilvl w:val="0"/>
          <w:numId w:val="14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在r-S坐标下实现直径—频率约束MPC，并通过强基线和单因素消融证明贡献来源。</w:t>
      </w:r>
    </w:p>
    <w:p>
      <w:pPr>
        <w:keepNext w:val="0"/>
        <w:keepLines/>
        <w:numPr>
          <w:ilvl w:val="0"/>
          <w:numId w:val="14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在名义与延迟变化条件下验证安全性、性能和失败降级。</w:t>
      </w:r>
    </w:p>
    <w:p>
      <w:pPr>
        <w:pStyle w:val="Heading2"/>
        <w:keepNext/>
        <w:keepLines/>
        <w:widowControl/>
      </w:pPr>
      <w:r>
        <w:t>建议主图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000"/>
        <w:gridCol w:w="4050"/>
        <w:gridCol w:w="4310"/>
      </w:tblGrid>
      <w:tr>
        <w:trPr>
          <w:tblHeader w:val="true"/>
          <w:cantSplit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图</w:t>
            </w:r>
          </w:p>
        </w:tc>
        <w:tc>
          <w:tcPr>
            <w:tcW w:type="dxa" w:w="4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内容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必须传达的信息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Fig. 1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系统结构、时间轴和软测量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Q1/Q2异步命令如何与液滴事件对齐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Fig. 2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视觉软测量对称重参考的散点和Bland–Altman图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H1准确度与偏差边界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Fig. 3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r-S工作图、流态包络和6/9/12/15点学习曲线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物理坐标与样本效率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Fig. 4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同步假设、时间对齐、随机时间戳负对照的动态预测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H2因果证据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Fig. 5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四种控制器的直径/频率/流量轨迹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H4性能、输入平滑和约束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Fig. 6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长软管延迟压力测试、NIS和降级事件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H5稳健性与失败安全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Fig. 7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2小时漂移、CV和模型偏置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长期稳定性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widowControl/>
      </w:pPr>
      <w:r>
        <w:t>高水平论文就绪标准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H1、H2和H4至少通过；否则论文核心链条不成立。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所有主闭环对照共享相同安全边界、模型辨识数据和目标序列。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至少3块独立芯片、2天以上区组；如声称跨几何，则增加至少2种几何并整芯片留出。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开放匿名化原始运行级数据、控制日志、模型记录、分析脚本和仿真回放。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所有图表可由一次命令从冻结数据库重建；不手工挑选代表性轨迹。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对失败运行、右删失调节时间和模型拒绝事件完整报告。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4DF"/>
          <w:left w:val="single" w:sz="4" w:space="0" w:color="C8D4DF"/>
          <w:bottom w:val="single" w:sz="4" w:space="0" w:color="C8D4DF"/>
          <w:right w:val="single" w:sz="4" w:space="0" w:color="C8D4DF"/>
          <w:insideH w:val="single" w:sz="4" w:space="0" w:color="C8D4DF"/>
          <w:insideV w:val="single" w:sz="4" w:space="0" w:color="C8D4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C"/>
          </w:tcPr>
          <w:p>
            <w:pPr>
              <w:keepNext w:val="0"/>
              <w:keepLines/>
              <w:spacing w:before="60" w:after="60" w:line="276" w:lineRule="auto"/>
              <w:widowControl/>
            </w:pPr>
            <w:r>
              <w:rPr>
                <w:rFonts w:ascii="Calibri" w:hAnsi="Calibri" w:eastAsia="Microsoft YaHei"/>
                <w:b/>
                <w:color w:val="245C3A"/>
                <w:sz w:val="21"/>
              </w:rPr>
              <w:t xml:space="preserve">现实判断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现有硬件可以完成这篇论文，但高水平的来源必须是“视觉物理软测量+异步时间戳因果对齐”的可证伪证据，而不是控制器名称。若只有一块芯片、没有流量参考、没有强基线和消融，建议按工程二区论文定位；完成本方案的核心验证后，才具有冲击一区的合理基础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widowControl/>
      </w:pPr>
      <w:r>
        <w:t>风险登记与预先退路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2220"/>
        <w:gridCol w:w="3180"/>
        <w:gridCol w:w="20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风险</w:t>
            </w:r>
          </w:p>
        </w:tc>
        <w:tc>
          <w:tcPr>
            <w:tcW w:type="dxa" w:w="22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早期信号</w:t>
            </w:r>
          </w:p>
        </w:tc>
        <w:tc>
          <w:tcPr>
            <w:tcW w:type="dxa" w:w="31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预防/缓解</w:t>
            </w:r>
          </w:p>
        </w:tc>
        <w:tc>
          <w:tcPr>
            <w:tcW w:type="dxa" w:w="2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预先退路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速度无法代表总流量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κU随r/S系统漂移；QΣ误差大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分工作区拟合κU；保存观察区几何；延长称重窗口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只保留Qd=Vf软测量，做SISO延迟控制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频率测量不稳定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跨周期抖动或连续为0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周期同步统计、最小过线数、区间方差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频率退出MPC，仅作诊断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灵敏度矩阵病态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条件数高、两输出响应方向相近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改用r/S正交激励；缩小工作域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固定S，只控制直径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静态模型外推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目标接近包络边缘、不确定度上升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严格域检查和置信度惩罚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拒绝命令，运行安全BO/新标定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OSQP不可用或超时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依赖缺失、迭代达上限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可选依赖、warm start、硬超时、解后复核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PI无扰接管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长试验漂移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中心重复点改变、偏置持续增长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分块随机、中心点检查、记录温度和批次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将漂移作为显式结果，不删数据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安全路径被新控制绕过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存在第二个泵写入者或未经复核命令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接口审查、集成测试、故障注入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Microsoft YaHei"/>
                <w:color w:val="111111"/>
                <w:sz w:val="15"/>
              </w:rPr>
              <w:t>禁止现场部署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widowControl/>
      </w:pPr>
      <w:r>
        <w:t>建议的数据记录结构</w:t>
      </w:r>
    </w:p>
    <w:p>
      <w:pPr>
        <w:pStyle w:val="Heading2"/>
        <w:keepNext/>
        <w:keepLines/>
        <w:widowControl/>
      </w:pPr>
      <w:r>
        <w:t>上下文记录</w:t>
      </w:r>
    </w:p>
    <w:p>
      <w:pPr>
        <w:pStyle w:val="CodeBlock"/>
        <w:shd w:fill="F2F4F7"/>
      </w:pPr>
      <w:r>
        <w:rPr>
          <w:rFonts w:ascii="Consolas" w:hAnsi="Consolas" w:eastAsia="Microsoft YaHei"/>
          <w:color w:val="0B2545"/>
          <w:sz w:val="17"/>
        </w:rPr>
        <w:t>CrossJunctionContext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context_id, chip_id, chip_batch, junction_type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channel_height_um, orifice_width_um, inlet/outlet widths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continuous_phase_oil, aqueous_phase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surfactant_name, concentration, basis, temperature_c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pump_model, syringe_profile, tubing_id, tubing_length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flow_definition = q1_total_continuous_q2_dispersed</w:t>
      </w:r>
    </w:p>
    <w:p>
      <w:pPr>
        <w:pStyle w:val="Heading2"/>
        <w:keepNext/>
        <w:keepLines/>
        <w:widowControl/>
      </w:pPr>
      <w:r>
        <w:t>运行批次记录</w:t>
      </w:r>
    </w:p>
    <w:p>
      <w:pPr>
        <w:pStyle w:val="CodeBlock"/>
        <w:shd w:fill="F2F4F7"/>
      </w:pPr>
      <w:r>
        <w:rPr>
          <w:rFonts w:ascii="Consolas" w:hAnsi="Consolas" w:eastAsia="Microsoft YaHei"/>
          <w:color w:val="0B2545"/>
          <w:sz w:val="17"/>
        </w:rPr>
        <w:t>OperatingBatch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run_id, context_id, repetition, controller, model_id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q1/q2 command, device readback, vision-inferred effective flow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r, S, target/measured diameter and frequency, CV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valid count, invalid fraction, speed and quality score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period start/end, per-pump timestamps, capture timestamps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observer NIS/covariance, MPC solve status/time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regime, failure reason, safety event</w:t>
      </w:r>
    </w:p>
    <w:p>
      <w:pPr>
        <w:keepNext w:val="0"/>
        <w:keepLines/>
        <w:widowControl/>
      </w:pPr>
      <w:r>
        <w:rPr>
          <w:rFonts w:ascii="Calibri" w:hAnsi="Calibri" w:eastAsia="Microsoft YaHei"/>
          <w:i w:val="0"/>
          <w:color w:val="111111"/>
          <w:sz w:val="21"/>
        </w:rPr>
        <w:t>模型记录必须保存训练数据集哈希、模型有效域、独立验证指标和promoted状态。训练完成不能自动取得控制权。</w:t>
      </w:r>
    </w:p>
    <w:p>
      <w:pPr>
        <w:pStyle w:val="Heading1"/>
        <w:keepNext/>
        <w:keepLines/>
        <w:widowControl/>
      </w:pPr>
      <w:r>
        <w:t>参考文献</w:t>
      </w:r>
    </w:p>
    <w:p>
      <w:pPr>
        <w:keepNext w:val="0"/>
        <w:keepLines/>
        <w:spacing w:after="100" w:line="276" w:lineRule="auto"/>
        <w:ind w:left="403" w:hanging="403"/>
        <w:widowControl/>
      </w:pPr>
      <w:r>
        <w:rPr>
          <w:rFonts w:ascii="Calibri" w:hAnsi="Calibri" w:eastAsia="Microsoft YaHei"/>
          <w:color w:val="111111"/>
          <w:sz w:val="18"/>
        </w:rPr>
        <w:t xml:space="preserve">[1] Moscato, S., Sanalitro, D., Stella, G., &amp; Bucolo, M. (2024). Model Predictive Control framework for slug flow microfluidics processes. Control Engineering Practice, 148, 105944. </w:t>
      </w:r>
      <w:hyperlink r:id="rId12">
        <w:r>
          <w:rPr>
            <w:color w:val="2E74B5"/>
            <w:u w:val="single"/>
            <w:rFonts w:ascii="Calibri" w:hAnsi="Calibri" w:eastAsia="Microsoft YaHei"/>
          </w:rPr>
          <w:t>DOI/原文</w:t>
        </w:r>
      </w:hyperlink>
    </w:p>
    <w:p>
      <w:pPr>
        <w:keepNext w:val="0"/>
        <w:keepLines/>
        <w:spacing w:after="100" w:line="276" w:lineRule="auto"/>
        <w:ind w:left="403" w:hanging="403"/>
        <w:widowControl/>
      </w:pPr>
      <w:r>
        <w:rPr>
          <w:rFonts w:ascii="Calibri" w:hAnsi="Calibri" w:eastAsia="Microsoft YaHei"/>
          <w:color w:val="111111"/>
          <w:sz w:val="18"/>
        </w:rPr>
        <w:t xml:space="preserve">[2] Maddala, J., &amp; Rengaswamy, R. (2013). Droplet digital signal generation in microfluidic networks using model predictive control. Journal of Process Control, 23(2), 132–139. </w:t>
      </w:r>
      <w:hyperlink r:id="rId13">
        <w:r>
          <w:rPr>
            <w:color w:val="2E74B5"/>
            <w:u w:val="single"/>
            <w:rFonts w:ascii="Calibri" w:hAnsi="Calibri" w:eastAsia="Microsoft YaHei"/>
          </w:rPr>
          <w:t>DOI/原文</w:t>
        </w:r>
      </w:hyperlink>
    </w:p>
    <w:p>
      <w:pPr>
        <w:keepNext w:val="0"/>
        <w:keepLines/>
        <w:spacing w:after="100" w:line="276" w:lineRule="auto"/>
        <w:ind w:left="403" w:hanging="403"/>
        <w:widowControl/>
      </w:pPr>
      <w:r>
        <w:rPr>
          <w:rFonts w:ascii="Calibri" w:hAnsi="Calibri" w:eastAsia="Microsoft YaHei"/>
          <w:color w:val="111111"/>
          <w:sz w:val="18"/>
        </w:rPr>
        <w:t xml:space="preserve">[3] Vicente Martínez, J., Ramírez Laboreo, E., &amp; Calderón Gil, P. (2024). Dynamic modeling and predictive control of a microfluidic system. Revista Iberoamericana de Automática e Informática Industrial, 21, 231–242. </w:t>
      </w:r>
      <w:hyperlink r:id="rId14">
        <w:r>
          <w:rPr>
            <w:color w:val="2E74B5"/>
            <w:u w:val="single"/>
            <w:rFonts w:ascii="Calibri" w:hAnsi="Calibri" w:eastAsia="Microsoft YaHei"/>
          </w:rPr>
          <w:t>DOI/原文</w:t>
        </w:r>
      </w:hyperlink>
    </w:p>
    <w:p>
      <w:pPr>
        <w:keepNext w:val="0"/>
        <w:keepLines/>
        <w:spacing w:after="100" w:line="276" w:lineRule="auto"/>
        <w:ind w:left="403" w:hanging="403"/>
        <w:widowControl/>
      </w:pPr>
      <w:r>
        <w:rPr>
          <w:rFonts w:ascii="Calibri" w:hAnsi="Calibri" w:eastAsia="Microsoft YaHei"/>
          <w:color w:val="111111"/>
          <w:sz w:val="18"/>
        </w:rPr>
        <w:t xml:space="preserve">[4] Crawford, D. F., Smith, C. A., &amp; Whyte, G. (2017). Image-based closed-loop feedback for highly mono-dispersed microdroplet production. Scientific Reports, 7, 10545. </w:t>
      </w:r>
      <w:hyperlink r:id="rId15">
        <w:r>
          <w:rPr>
            <w:color w:val="2E74B5"/>
            <w:u w:val="single"/>
            <w:rFonts w:ascii="Calibri" w:hAnsi="Calibri" w:eastAsia="Microsoft YaHei"/>
          </w:rPr>
          <w:t>DOI/原文</w:t>
        </w:r>
      </w:hyperlink>
    </w:p>
    <w:p>
      <w:pPr>
        <w:keepNext w:val="0"/>
        <w:keepLines/>
        <w:spacing w:after="100" w:line="276" w:lineRule="auto"/>
        <w:ind w:left="403" w:hanging="403"/>
        <w:widowControl/>
      </w:pPr>
      <w:r>
        <w:rPr>
          <w:rFonts w:ascii="Calibri" w:hAnsi="Calibri" w:eastAsia="Microsoft YaHei"/>
          <w:color w:val="111111"/>
          <w:sz w:val="18"/>
        </w:rPr>
        <w:t xml:space="preserve">[5] Zeng, W., Li, S., &amp; Wang, Z. (2015). Closed-loop feedback control of droplet formation in a T-junction microdroplet generator. Sensors and Actuators A: Physical, 233, 542–547. </w:t>
      </w:r>
      <w:hyperlink r:id="rId16">
        <w:r>
          <w:rPr>
            <w:color w:val="2E74B5"/>
            <w:u w:val="single"/>
            <w:rFonts w:ascii="Calibri" w:hAnsi="Calibri" w:eastAsia="Microsoft YaHei"/>
          </w:rPr>
          <w:t>DOI/原文</w:t>
        </w:r>
      </w:hyperlink>
    </w:p>
    <w:p>
      <w:pPr>
        <w:keepNext w:val="0"/>
        <w:keepLines/>
        <w:spacing w:after="100" w:line="276" w:lineRule="auto"/>
        <w:ind w:left="403" w:hanging="403"/>
        <w:widowControl/>
      </w:pPr>
      <w:r>
        <w:rPr>
          <w:rFonts w:ascii="Calibri" w:hAnsi="Calibri" w:eastAsia="Microsoft YaHei"/>
          <w:color w:val="111111"/>
          <w:sz w:val="18"/>
        </w:rPr>
        <w:t xml:space="preserve">[6] Garstecki, P., Fuerstman, M. J., Stone, H. A., &amp; Whitesides, G. M. (2006). Formation of droplets and bubbles in a microfluidic T-junction—scaling and mechanism of break-up. Lab on a Chip, 6, 437–446. </w:t>
      </w:r>
      <w:hyperlink r:id="rId17">
        <w:r>
          <w:rPr>
            <w:color w:val="2E74B5"/>
            <w:u w:val="single"/>
            <w:rFonts w:ascii="Calibri" w:hAnsi="Calibri" w:eastAsia="Microsoft YaHei"/>
          </w:rPr>
          <w:t>DOI/原文</w:t>
        </w:r>
      </w:hyperlink>
    </w:p>
    <w:p>
      <w:pPr>
        <w:keepNext w:val="0"/>
        <w:keepLines/>
        <w:spacing w:after="100" w:line="276" w:lineRule="auto"/>
        <w:ind w:left="403" w:hanging="403"/>
        <w:widowControl/>
      </w:pPr>
      <w:r>
        <w:rPr>
          <w:rFonts w:ascii="Calibri" w:hAnsi="Calibri" w:eastAsia="Microsoft YaHei"/>
          <w:color w:val="111111"/>
          <w:sz w:val="18"/>
        </w:rPr>
        <w:t xml:space="preserve">[7] Holt, D. J., Payne, R. J., Chow, W. Y., &amp; Abell, C. (2010). Fluorosurfactants for microdroplets: Interfacial tension analysis. Journal of Colloid and Interface Science, 350(1), 205–211. </w:t>
      </w:r>
      <w:hyperlink r:id="rId18">
        <w:r>
          <w:rPr>
            <w:color w:val="2E74B5"/>
            <w:u w:val="single"/>
            <w:rFonts w:ascii="Calibri" w:hAnsi="Calibri" w:eastAsia="Microsoft YaHei"/>
          </w:rPr>
          <w:t>DOI/原文</w:t>
        </w:r>
      </w:hyperlink>
    </w:p>
    <w:p>
      <w:pPr>
        <w:keepNext w:val="0"/>
        <w:keepLines/>
        <w:spacing w:after="100" w:line="276" w:lineRule="auto"/>
        <w:ind w:left="403" w:hanging="403"/>
        <w:widowControl/>
      </w:pPr>
      <w:r>
        <w:rPr>
          <w:rFonts w:ascii="Calibri" w:hAnsi="Calibri" w:eastAsia="Microsoft YaHei"/>
          <w:color w:val="111111"/>
          <w:sz w:val="18"/>
        </w:rPr>
        <w:t xml:space="preserve">[8] Lashkaripour, A., et al. (2021). Machine learning enables design automation of microfluidic flow-focusing droplet generation. Nature Communications, 12, 25. </w:t>
      </w:r>
      <w:hyperlink r:id="rId19">
        <w:r>
          <w:rPr>
            <w:color w:val="2E74B5"/>
            <w:u w:val="single"/>
            <w:rFonts w:ascii="Calibri" w:hAnsi="Calibri" w:eastAsia="Microsoft YaHei"/>
          </w:rPr>
          <w:t>DOI/原文</w:t>
        </w:r>
      </w:hyperlink>
    </w:p>
    <w:p>
      <w:pPr>
        <w:keepNext w:val="0"/>
        <w:keepLines/>
        <w:spacing w:after="100" w:line="276" w:lineRule="auto"/>
        <w:ind w:left="403" w:hanging="403"/>
        <w:widowControl/>
      </w:pPr>
      <w:r>
        <w:rPr>
          <w:rFonts w:ascii="Calibri" w:hAnsi="Calibri" w:eastAsia="Microsoft YaHei"/>
          <w:color w:val="111111"/>
          <w:sz w:val="18"/>
        </w:rPr>
        <w:t xml:space="preserve">[9] Lashkaripour, A., McIntyre, D. P., Calhoun, S. G. K., Krauth, K., Densmore, D. M., &amp; Fordyce, P. M. (2024). Design automation of microfluidic single and double emulsion droplets with machine learning. Nature Communications, 15, 83. </w:t>
      </w:r>
      <w:hyperlink r:id="rId20">
        <w:r>
          <w:rPr>
            <w:color w:val="2E74B5"/>
            <w:u w:val="single"/>
            <w:rFonts w:ascii="Calibri" w:hAnsi="Calibri" w:eastAsia="Microsoft YaHei"/>
          </w:rPr>
          <w:t>DOI/原文</w:t>
        </w:r>
      </w:hyperlink>
    </w:p>
    <w:p>
      <w:pPr>
        <w:keepNext w:val="0"/>
        <w:keepLines/>
        <w:spacing w:after="100" w:line="276" w:lineRule="auto"/>
        <w:ind w:left="403" w:hanging="403"/>
        <w:widowControl/>
      </w:pPr>
      <w:r>
        <w:rPr>
          <w:rFonts w:ascii="Calibri" w:hAnsi="Calibri" w:eastAsia="Microsoft YaHei"/>
          <w:color w:val="111111"/>
          <w:sz w:val="18"/>
        </w:rPr>
        <w:t xml:space="preserve">[10] Naz, S. A., Huynh, V. T., Doeven, E. H., Adams, S., Kouzani, A. Z., &amp; Guijt, R. M. (2025). Development of a robust closed loop pressure control system for droplet generation. Sensors and Actuators A: Physical, 390, 116596. </w:t>
      </w:r>
      <w:hyperlink r:id="rId21">
        <w:r>
          <w:rPr>
            <w:color w:val="2E74B5"/>
            <w:u w:val="single"/>
            <w:rFonts w:ascii="Calibri" w:hAnsi="Calibri" w:eastAsia="Microsoft YaHei"/>
          </w:rPr>
          <w:t>DOI/原文</w:t>
        </w:r>
      </w:hyperlink>
    </w:p>
    <w:p>
      <w:pPr>
        <w:pStyle w:val="Heading1"/>
        <w:keepNext/>
        <w:keepLines/>
        <w:widowControl/>
      </w:pPr>
      <w:r>
        <w:t>最终执行清单</w:t>
      </w:r>
    </w:p>
    <w:p>
      <w:pPr>
        <w:keepNext w:val="0"/>
        <w:keepLines/>
        <w:numPr>
          <w:ilvl w:val="0"/>
          <w:numId w:val="15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先修周期同步频率和动态标定最短等待门。</w:t>
      </w:r>
    </w:p>
    <w:p>
      <w:pPr>
        <w:keepNext w:val="0"/>
        <w:keepLines/>
        <w:numPr>
          <w:ilvl w:val="0"/>
          <w:numId w:val="15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用12段视频完成视觉计量验证。</w:t>
      </w:r>
    </w:p>
    <w:p>
      <w:pPr>
        <w:keepNext w:val="0"/>
        <w:keepLines/>
        <w:numPr>
          <w:ilvl w:val="0"/>
          <w:numId w:val="15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用3块芯片完成54批r-S静态工作图。</w:t>
      </w:r>
    </w:p>
    <w:p>
      <w:pPr>
        <w:keepNext w:val="0"/>
        <w:keepLines/>
        <w:numPr>
          <w:ilvl w:val="0"/>
          <w:numId w:val="15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用称重参考验证Qd,vis和QΣ,vis；未通过则执行SISO退路。</w:t>
      </w:r>
    </w:p>
    <w:p>
      <w:pPr>
        <w:keepNext w:val="0"/>
        <w:keepLines/>
        <w:numPr>
          <w:ilvl w:val="0"/>
          <w:numId w:val="15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补齐逐泵时间戳并完成随机时间戳负对照。</w:t>
      </w:r>
    </w:p>
    <w:p>
      <w:pPr>
        <w:keepNext w:val="0"/>
        <w:keepLines/>
        <w:numPr>
          <w:ilvl w:val="0"/>
          <w:numId w:val="15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在录制数据和仿真中验证观测器、MPC与全部硬约束。</w:t>
      </w:r>
    </w:p>
    <w:p>
      <w:pPr>
        <w:keepNext w:val="0"/>
        <w:keepLines/>
        <w:numPr>
          <w:ilvl w:val="0"/>
          <w:numId w:val="15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shadow运行后依次25%、50%、100%放权，任何故障继续走现有安全停机。</w:t>
      </w:r>
    </w:p>
    <w:p>
      <w:pPr>
        <w:keepNext w:val="0"/>
        <w:keepLines/>
        <w:numPr>
          <w:ilvl w:val="0"/>
          <w:numId w:val="15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按冻结目标序列完成4控制器主试验、延迟压力试验和前馈消融。</w:t>
      </w:r>
    </w:p>
    <w:p>
      <w:pPr>
        <w:keepNext w:val="0"/>
        <w:keepLines/>
        <w:numPr>
          <w:ilvl w:val="0"/>
          <w:numId w:val="15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按运行级统计模型分析，完整报告失败和右删失。</w:t>
      </w:r>
    </w:p>
    <w:p>
      <w:pPr>
        <w:keepNext w:val="0"/>
        <w:keepLines/>
        <w:numPr>
          <w:ilvl w:val="0"/>
          <w:numId w:val="15"/>
        </w:numPr>
        <w:spacing w:after="80" w:line="290" w:lineRule="auto"/>
        <w:widowControl/>
      </w:pPr>
      <w:r>
        <w:rPr>
          <w:rFonts w:ascii="Calibri" w:hAnsi="Calibri" w:eastAsia="Microsoft YaHei"/>
          <w:color w:val="111111"/>
          <w:sz w:val="21"/>
        </w:rPr>
        <w:t>只有H1、H2和H4成立时，将VISTA-MPC作为论文核心主张。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500"/>
      <w:gridCol w:w="2860"/>
    </w:tblGrid>
    <w:tr>
      <w:trPr>
        <w:cantSplit/>
      </w:trP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</w:pPr>
          <w:r>
            <w:rPr>
              <w:rFonts w:ascii="Calibri" w:hAnsi="Calibri" w:eastAsia="Microsoft YaHei"/>
              <w:color w:val="5B6573"/>
              <w:sz w:val="16"/>
            </w:rPr>
            <w:t>实施建议稿 · 未完成实验结果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 w:eastAsia="Microsoft YaHei"/>
              <w:color w:val="5B6573"/>
              <w:sz w:val="16"/>
            </w:rPr>
            <w:t xml:space="preserve">第 </w:t>
          </w:r>
          <w:r>
            <w:rPr>
              <w:rFonts w:ascii="Calibri" w:hAnsi="Calibri" w:eastAsia="Microsoft YaHei"/>
              <w:color w:val="5B6573"/>
              <w:sz w:val="17"/>
            </w:rPr>
            <w:fldChar w:fldCharType="begin"/>
            <w:instrText xml:space="preserve"> PAGE </w:instrText>
            <w:fldChar w:fldCharType="end"/>
          </w:r>
          <w:r>
            <w:rPr>
              <w:rFonts w:ascii="Calibri" w:hAnsi="Calibri" w:eastAsia="Microsoft YaHei"/>
              <w:color w:val="5B6573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2" w:color="D6DEE6"/>
      </w:pBdr>
    </w:pPr>
    <w:r/>
    <w:r>
      <w:rPr>
        <w:rFonts w:ascii="Calibri" w:hAnsi="Calibri" w:eastAsia="Microsoft YaHei"/>
        <w:b/>
        <w:color w:val="5B6573"/>
        <w:sz w:val="17"/>
      </w:rPr>
      <w:t>MCS_QT  |  VISTA-MPC 研究实施方案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Calibri" w:hAnsi="Calibr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64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Theme="majorHAnsi" w:eastAsiaTheme="majorEastAsia" w:hAnsiTheme="majorHAnsi" w:cstheme="majorBidi" w:ascii="Calibri" w:hAnsi="Calibri" w:eastAsia="Microsoft YaHei"/>
      <w:i/>
      <w:iCs/>
      <w:color w:val="1F4D78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Block">
    <w:name w:val="Equation Block"/>
    <w:pPr>
      <w:keepLines/>
      <w:spacing w:before="80" w:after="140"/>
      <w:jc w:val="center"/>
    </w:pPr>
    <w:rPr>
      <w:rFonts w:ascii="Cambria Math" w:hAnsi="Cambria Math" w:eastAsia="Cambria Math"/>
      <w:color w:val="0B2545"/>
      <w:sz w:val="21"/>
    </w:rPr>
  </w:style>
  <w:style w:type="paragraph" w:customStyle="1" w:styleId="CodeBlock">
    <w:name w:val="Code Block"/>
    <w:pPr>
      <w:spacing w:before="80" w:after="140" w:line="259" w:lineRule="auto"/>
      <w:ind w:left="360" w:right="216"/>
    </w:pPr>
    <w:rPr>
      <w:rFonts w:ascii="Consolas" w:hAnsi="Consolas" w:eastAsia="Microsoft YaHei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oi.org/10.1016/j.conengprac.2024.105944" TargetMode="External"/><Relationship Id="rId13" Type="http://schemas.openxmlformats.org/officeDocument/2006/relationships/hyperlink" Target="https://doi.org/10.1016/j.jprocont.2012.08.014" TargetMode="External"/><Relationship Id="rId14" Type="http://schemas.openxmlformats.org/officeDocument/2006/relationships/hyperlink" Target="https://doi.org/10.4995/riai.2024.19953" TargetMode="External"/><Relationship Id="rId15" Type="http://schemas.openxmlformats.org/officeDocument/2006/relationships/hyperlink" Target="https://doi.org/10.1038/s41598-017-11254-5" TargetMode="External"/><Relationship Id="rId16" Type="http://schemas.openxmlformats.org/officeDocument/2006/relationships/hyperlink" Target="https://doi.org/10.1016/j.sna.2015.08.002" TargetMode="External"/><Relationship Id="rId17" Type="http://schemas.openxmlformats.org/officeDocument/2006/relationships/hyperlink" Target="https://doi.org/10.1039/B510841A" TargetMode="External"/><Relationship Id="rId18" Type="http://schemas.openxmlformats.org/officeDocument/2006/relationships/hyperlink" Target="https://doi.org/10.1016/j.jcis.2010.06.036" TargetMode="External"/><Relationship Id="rId19" Type="http://schemas.openxmlformats.org/officeDocument/2006/relationships/hyperlink" Target="https://doi.org/10.1038/s41467-020-20284-z" TargetMode="External"/><Relationship Id="rId20" Type="http://schemas.openxmlformats.org/officeDocument/2006/relationships/hyperlink" Target="https://doi.org/10.1038/s41467-023-44068-3" TargetMode="External"/><Relationship Id="rId21" Type="http://schemas.openxmlformats.org/officeDocument/2006/relationships/hyperlink" Target="https://doi.org/10.1016/j.sna.2025.1165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MCS_QT VISTA-MPC 高水平论文实施方案</dc:title>
  <dc:subject>基于现有微流控液滴控制系统的可执行研究与论文设计</dc:subject>
  <dc:creator>MCS_QT 项目</dc:creator>
  <cp:keywords>microfluidics; droplet control; soft sensor; timestamp alignment; MPC</cp:keywords>
  <dc:description>实施建议稿；所有性能数字均为预注册验收阈值，不是已获得结果。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