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ConstructCore Solutions</w:t>
      </w:r>
    </w:p>
    <w:p>
      <w:pPr>
        <w:pStyle w:val="Heading2"/>
      </w:pPr>
      <w:r>
        <w:t>Construction &amp; Real Estate Corporate Asset Package 2025</w:t>
      </w:r>
    </w:p>
    <w:p/>
    <w:p>
      <w:pPr>
        <w:pStyle w:val="Heading2"/>
      </w:pPr>
      <w:r>
        <w:t>Executive Summary</w:t>
      </w:r>
    </w:p>
    <w:p/>
    <w:p>
      <w:r>
        <w:t>ConstructCore Solutions delivers enterprise-grade documentation, compliance reporting, and onboarding infrastructure for mid-market construction firms, general contractors, real estate developers, and property management companies. In an industry where regulatory complexity, subcontractor onboarding friction, and capital documentation gaps cost firms an average of $2.3M annually, ConstructCore provides the intelligence layer that turns operational chaos into competitive advantage.</w:t>
      </w:r>
    </w:p>
    <w:p/>
    <w:p>
      <w:r>
        <w:t>This report covers OSHA compliance frameworks, subcontractor vetting protocols, real estate development documentation standards, bonding and insurance requirements, lien waiver management, and the complete onboarding architecture required for modern construction enterprises operating at scale.</w:t>
      </w:r>
    </w:p>
    <w:p/>
    <w:p>
      <w:r>
        <w:t>---</w:t>
      </w:r>
    </w:p>
    <w:p/>
    <w:p>
      <w:pPr>
        <w:pStyle w:val="Heading2"/>
      </w:pPr>
      <w:r>
        <w:t>Section 1: Industry Landscape &amp; Market Opportunity</w:t>
      </w:r>
    </w:p>
    <w:p/>
    <w:p>
      <w:pPr>
        <w:pStyle w:val="Heading3"/>
      </w:pPr>
      <w:r>
        <w:t>1.1 The State of Construction Documentation</w:t>
      </w:r>
    </w:p>
    <w:p/>
    <w:p>
      <w:r>
        <w:t>The U.S. construction industry generates $1.8 trillion in annual output, yet remains one of the least digitized sectors in the American economy. According to McKinsey Global Institute, construction productivity has grown at just 1% annually over the past two decades, compared to 2.8% for the total economy. The root cause is not labor or materials — it is documentation friction.</w:t>
      </w:r>
    </w:p>
    <w:p/>
    <w:p>
      <w:r>
        <w:t>Key pain points identified across 847 mid-market construction firms surveyed in 2024:</w:t>
      </w:r>
    </w:p>
    <w:p/>
    <w:p>
      <w:pPr>
        <w:pStyle w:val="ListParagraph"/>
      </w:pPr>
      <w:r/>
      <w:r>
        <w:rPr>
          <w:b/>
        </w:rPr>
        <w:t>67%</w:t>
      </w:r>
      <w:r>
        <w:t xml:space="preserve"> report subcontractor onboarding takes 3–6 weeks due to missing documentation</w:t>
      </w:r>
    </w:p>
    <w:p>
      <w:pPr>
        <w:pStyle w:val="ListParagraph"/>
      </w:pPr>
      <w:r/>
      <w:r>
        <w:rPr>
          <w:b/>
        </w:rPr>
        <w:t>54%</w:t>
      </w:r>
      <w:r>
        <w:t xml:space="preserve"> have faced OSHA citation risk due to incomplete safety compliance records</w:t>
      </w:r>
    </w:p>
    <w:p>
      <w:pPr>
        <w:pStyle w:val="ListParagraph"/>
      </w:pPr>
      <w:r/>
      <w:r>
        <w:rPr>
          <w:b/>
        </w:rPr>
        <w:t>71%</w:t>
      </w:r>
      <w:r>
        <w:t xml:space="preserve"> lack a standardized capabilities briefing for bonding agency or bank presentations</w:t>
      </w:r>
    </w:p>
    <w:p>
      <w:pPr>
        <w:pStyle w:val="ListParagraph"/>
      </w:pPr>
      <w:r/>
      <w:r>
        <w:rPr>
          <w:b/>
        </w:rPr>
        <w:t>43%</w:t>
      </w:r>
      <w:r>
        <w:t xml:space="preserve"> have lost contracts due to inability to produce compliant documentation packages within 48 hours</w:t>
      </w:r>
    </w:p>
    <w:p/>
    <w:p>
      <w:pPr>
        <w:pStyle w:val="Heading3"/>
      </w:pPr>
      <w:r>
        <w:t>1.2 Regulatory Environment</w:t>
      </w:r>
    </w:p>
    <w:p/>
    <w:p>
      <w:r>
        <w:t>Construction firms operating in the United States must navigate a complex web of federal, state, and local regulations:</w:t>
      </w:r>
    </w:p>
    <w:p/>
    <w:p>
      <w:r/>
      <w:r>
        <w:rPr>
          <w:b/>
        </w:rPr>
        <w:t>Federal Requirements:</w:t>
      </w:r>
      <w:r/>
    </w:p>
    <w:p>
      <w:pPr>
        <w:pStyle w:val="ListParagraph"/>
      </w:pPr>
      <w:r>
        <w:t>OSHA 29 CFR Part 1926 (Construction Safety Standards)</w:t>
      </w:r>
    </w:p>
    <w:p>
      <w:pPr>
        <w:pStyle w:val="ListParagraph"/>
      </w:pPr>
      <w:r>
        <w:t>Davis-Bacon Act (prevailing wage on federal projects)</w:t>
      </w:r>
    </w:p>
    <w:p>
      <w:pPr>
        <w:pStyle w:val="ListParagraph"/>
      </w:pPr>
      <w:r>
        <w:t>Clean Water Act Section 402 (stormwater permits)</w:t>
      </w:r>
    </w:p>
    <w:p>
      <w:pPr>
        <w:pStyle w:val="ListParagraph"/>
      </w:pPr>
      <w:r>
        <w:t>ADA compliance for commercial construction</w:t>
      </w:r>
    </w:p>
    <w:p>
      <w:pPr>
        <w:pStyle w:val="ListParagraph"/>
      </w:pPr>
      <w:r>
        <w:t>EPA NESHAP regulations for demolition and renovation</w:t>
      </w:r>
    </w:p>
    <w:p/>
    <w:p>
      <w:r/>
      <w:r>
        <w:rPr>
          <w:b/>
        </w:rPr>
        <w:t>State-Level Requirements (vary by jurisdiction):</w:t>
      </w:r>
      <w:r/>
    </w:p>
    <w:p>
      <w:pPr>
        <w:pStyle w:val="ListParagraph"/>
      </w:pPr>
      <w:r>
        <w:t>Contractor licensing and bonding requirements</w:t>
      </w:r>
    </w:p>
    <w:p>
      <w:pPr>
        <w:pStyle w:val="ListParagraph"/>
      </w:pPr>
      <w:r>
        <w:t>Workers' compensation insurance mandates</w:t>
      </w:r>
    </w:p>
    <w:p>
      <w:pPr>
        <w:pStyle w:val="ListParagraph"/>
      </w:pPr>
      <w:r>
        <w:t>Lien law compliance and notice requirements</w:t>
      </w:r>
    </w:p>
    <w:p>
      <w:pPr>
        <w:pStyle w:val="ListParagraph"/>
      </w:pPr>
      <w:r>
        <w:t>Prevailing wage determinations</w:t>
      </w:r>
    </w:p>
    <w:p>
      <w:pPr>
        <w:pStyle w:val="ListParagraph"/>
      </w:pPr>
      <w:r>
        <w:t>Environmental impact documentation</w:t>
      </w:r>
    </w:p>
    <w:p/>
    <w:p>
      <w:r/>
      <w:r>
        <w:rPr>
          <w:b/>
        </w:rPr>
        <w:t>Local Requirements:</w:t>
      </w:r>
      <w:r/>
    </w:p>
    <w:p>
      <w:pPr>
        <w:pStyle w:val="ListParagraph"/>
      </w:pPr>
      <w:r>
        <w:t>Building permit documentation packages</w:t>
      </w:r>
    </w:p>
    <w:p>
      <w:pPr>
        <w:pStyle w:val="ListParagraph"/>
      </w:pPr>
      <w:r>
        <w:t>Zoning variance applications</w:t>
      </w:r>
    </w:p>
    <w:p>
      <w:pPr>
        <w:pStyle w:val="ListParagraph"/>
      </w:pPr>
      <w:r>
        <w:t>Fire marshal inspection protocols</w:t>
      </w:r>
    </w:p>
    <w:p>
      <w:pPr>
        <w:pStyle w:val="ListParagraph"/>
      </w:pPr>
      <w:r>
        <w:t>Historic preservation compliance</w:t>
      </w:r>
    </w:p>
    <w:p/>
    <w:p>
      <w:pPr>
        <w:pStyle w:val="Heading3"/>
      </w:pPr>
      <w:r>
        <w:t>1.3 The Documentation Gap Costs Real Money</w:t>
      </w:r>
    </w:p>
    <w:p/>
    <w:p>
      <w:r>
        <w:t>A 2024 Construction Financial Management Association (CFMA) study found:</w:t>
      </w:r>
    </w:p>
    <w:p/>
    <w:p>
      <w:r>
        <w:t>| Documentation Failure | Average Cost per Incident |</w:t>
      </w:r>
    </w:p>
    <w:p>
      <w:r>
        <w:t>|---|---|</w:t>
      </w:r>
    </w:p>
    <w:p>
      <w:r>
        <w:t>| OSHA citation (serious) | $15,625 |</w:t>
      </w:r>
    </w:p>
    <w:p>
      <w:r>
        <w:t>| Project delay due to permit gaps | $47,000/week |</w:t>
      </w:r>
    </w:p>
    <w:p>
      <w:r>
        <w:t>| Lost bonding capacity | $2.1M in unrealized contracts |</w:t>
      </w:r>
    </w:p>
    <w:p>
      <w:r>
        <w:t>| Subcontractor onboarding delay | $8,400/week per delayed trade |</w:t>
      </w:r>
    </w:p>
    <w:p>
      <w:r>
        <w:t>| Lien dispute resolution | $34,000 average legal cost |</w:t>
      </w:r>
    </w:p>
    <w:p/>
    <w:p>
      <w:r>
        <w:t>---</w:t>
      </w:r>
    </w:p>
    <w:p/>
    <w:p>
      <w:pPr>
        <w:pStyle w:val="Heading2"/>
      </w:pPr>
      <w:r>
        <w:t>Section 2: Subcontractor Onboarding Framework</w:t>
      </w:r>
    </w:p>
    <w:p/>
    <w:p>
      <w:pPr>
        <w:pStyle w:val="Heading3"/>
      </w:pPr>
      <w:r>
        <w:t>2.1 The 7-Stage Onboarding Protocol</w:t>
      </w:r>
    </w:p>
    <w:p/>
    <w:p>
      <w:r>
        <w:t>ConstructCore's proprietary subcontractor onboarding framework reduces time-to-mobilization from an industry average of 23 days to under 7 days through systematic documentation pre-qualification.</w:t>
      </w:r>
    </w:p>
    <w:p/>
    <w:p>
      <w:r/>
      <w:r>
        <w:rPr>
          <w:b/>
        </w:rPr>
        <w:t>Stage 1: Pre-Qualification Documentation</w:t>
      </w:r>
      <w:r/>
    </w:p>
    <w:p>
      <w:r>
        <w:t>Required from all subcontractors before bid acceptance:</w:t>
      </w:r>
    </w:p>
    <w:p>
      <w:pPr>
        <w:pStyle w:val="ListParagraph"/>
      </w:pPr>
      <w:r>
        <w:t>Current contractor license (state-specific)</w:t>
      </w:r>
    </w:p>
    <w:p>
      <w:pPr>
        <w:pStyle w:val="ListParagraph"/>
      </w:pPr>
      <w:r>
        <w:t>Certificate of Insurance (COI) with general contractor as additional insured</w:t>
      </w:r>
    </w:p>
    <w:p>
      <w:pPr>
        <w:pStyle w:val="ListParagraph"/>
      </w:pPr>
      <w:r>
        <w:t>Workers' compensation policy with experience modification rate (EMR) below 1.0</w:t>
      </w:r>
    </w:p>
    <w:p>
      <w:pPr>
        <w:pStyle w:val="ListParagraph"/>
      </w:pPr>
      <w:r>
        <w:t>W-9 federal tax form</w:t>
      </w:r>
    </w:p>
    <w:p>
      <w:pPr>
        <w:pStyle w:val="ListParagraph"/>
      </w:pPr>
      <w:r>
        <w:t>OSHA 300 log (last 3 years)</w:t>
      </w:r>
    </w:p>
    <w:p>
      <w:pPr>
        <w:pStyle w:val="ListParagraph"/>
      </w:pPr>
      <w:r>
        <w:t>Financial statements or bonding capacity letter</w:t>
      </w:r>
    </w:p>
    <w:p/>
    <w:p>
      <w:r/>
      <w:r>
        <w:rPr>
          <w:b/>
        </w:rPr>
        <w:t>Stage 2: Safety Prequalification</w:t>
      </w:r>
      <w:r/>
    </w:p>
    <w:p>
      <w:pPr>
        <w:pStyle w:val="ListParagraph"/>
      </w:pPr>
      <w:r>
        <w:t>OSHA 10 or 30 certification for supervisory personnel</w:t>
      </w:r>
    </w:p>
    <w:p>
      <w:pPr>
        <w:pStyle w:val="ListParagraph"/>
      </w:pPr>
      <w:r>
        <w:t>Company safety program documentation</w:t>
      </w:r>
    </w:p>
    <w:p>
      <w:pPr>
        <w:pStyle w:val="ListParagraph"/>
      </w:pPr>
      <w:r>
        <w:t>Substance abuse testing policy</w:t>
      </w:r>
    </w:p>
    <w:p>
      <w:pPr>
        <w:pStyle w:val="ListParagraph"/>
      </w:pPr>
      <w:r>
        <w:t>Emergency contact and incident reporting protocol</w:t>
      </w:r>
    </w:p>
    <w:p/>
    <w:p>
      <w:r/>
      <w:r>
        <w:rPr>
          <w:b/>
        </w:rPr>
        <w:t>Stage 3: Insurance Verification</w:t>
      </w:r>
      <w:r/>
    </w:p>
    <w:p>
      <w:r>
        <w:t>Minimum insurance requirements for ConstructCore-managed projects:</w:t>
      </w:r>
    </w:p>
    <w:p>
      <w:pPr>
        <w:pStyle w:val="ListParagraph"/>
      </w:pPr>
      <w:r>
        <w:t>General Liability: $2,000,000 per occurrence / $4,000,000 aggregate</w:t>
      </w:r>
    </w:p>
    <w:p>
      <w:pPr>
        <w:pStyle w:val="ListParagraph"/>
      </w:pPr>
      <w:r>
        <w:t>Auto Liability: $1,000,000 combined single limit</w:t>
      </w:r>
    </w:p>
    <w:p>
      <w:pPr>
        <w:pStyle w:val="ListParagraph"/>
      </w:pPr>
      <w:r>
        <w:t>Workers' Compensation: Statutory limits</w:t>
      </w:r>
    </w:p>
    <w:p>
      <w:pPr>
        <w:pStyle w:val="ListParagraph"/>
      </w:pPr>
      <w:r>
        <w:t>Umbrella/Excess: $5,000,000 per occurrence</w:t>
      </w:r>
    </w:p>
    <w:p>
      <w:pPr>
        <w:pStyle w:val="ListParagraph"/>
      </w:pPr>
      <w:r>
        <w:t>Professional Liability (design-build): $1,000,000 per claim</w:t>
      </w:r>
    </w:p>
    <w:p/>
    <w:p>
      <w:r/>
      <w:r>
        <w:rPr>
          <w:b/>
        </w:rPr>
        <w:t>Stage 4: Scope of Work Documentation</w:t>
      </w:r>
      <w:r/>
    </w:p>
    <w:p>
      <w:pPr>
        <w:pStyle w:val="ListParagraph"/>
      </w:pPr>
      <w:r>
        <w:t>Detailed scope of work agreement</w:t>
      </w:r>
    </w:p>
    <w:p>
      <w:pPr>
        <w:pStyle w:val="ListParagraph"/>
      </w:pPr>
      <w:r>
        <w:t>Schedule of values breakdown</w:t>
      </w:r>
    </w:p>
    <w:p>
      <w:pPr>
        <w:pStyle w:val="ListParagraph"/>
      </w:pPr>
      <w:r>
        <w:t>Phasing and milestone schedule alignment</w:t>
      </w:r>
    </w:p>
    <w:p>
      <w:pPr>
        <w:pStyle w:val="ListParagraph"/>
      </w:pPr>
      <w:r>
        <w:t>Material submittal requirements</w:t>
      </w:r>
    </w:p>
    <w:p>
      <w:pPr>
        <w:pStyle w:val="ListParagraph"/>
      </w:pPr>
      <w:r>
        <w:t>RFI and change order protocols</w:t>
      </w:r>
    </w:p>
    <w:p/>
    <w:p>
      <w:r/>
      <w:r>
        <w:rPr>
          <w:b/>
        </w:rPr>
        <w:t>Stage 5: Lien Waiver Framework</w:t>
      </w:r>
      <w:r/>
    </w:p>
    <w:p>
      <w:pPr>
        <w:pStyle w:val="ListParagraph"/>
      </w:pPr>
      <w:r>
        <w:t>Preliminary notice requirements by state</w:t>
      </w:r>
    </w:p>
    <w:p>
      <w:pPr>
        <w:pStyle w:val="ListParagraph"/>
      </w:pPr>
      <w:r>
        <w:t>Conditional waiver upon progress payment</w:t>
      </w:r>
    </w:p>
    <w:p>
      <w:pPr>
        <w:pStyle w:val="ListParagraph"/>
      </w:pPr>
      <w:r>
        <w:t>Unconditional waiver upon final payment</w:t>
      </w:r>
    </w:p>
    <w:p>
      <w:pPr>
        <w:pStyle w:val="ListParagraph"/>
      </w:pPr>
      <w:r>
        <w:t>Joint check agreement provisions (if applicable)</w:t>
      </w:r>
    </w:p>
    <w:p/>
    <w:p>
      <w:r/>
      <w:r>
        <w:rPr>
          <w:b/>
        </w:rPr>
        <w:t>Stage 6: Compliance Monitoring</w:t>
      </w:r>
      <w:r/>
    </w:p>
    <w:p>
      <w:pPr>
        <w:pStyle w:val="ListParagraph"/>
      </w:pPr>
      <w:r>
        <w:t>Monthly insurance certificate renewal tracking</w:t>
      </w:r>
    </w:p>
    <w:p>
      <w:pPr>
        <w:pStyle w:val="ListParagraph"/>
      </w:pPr>
      <w:r>
        <w:t>OSHA incident reporting integration</w:t>
      </w:r>
    </w:p>
    <w:p>
      <w:pPr>
        <w:pStyle w:val="ListParagraph"/>
      </w:pPr>
      <w:r>
        <w:t>Safety audit schedule and scoring protocol</w:t>
      </w:r>
    </w:p>
    <w:p>
      <w:pPr>
        <w:pStyle w:val="ListParagraph"/>
      </w:pPr>
      <w:r>
        <w:t>Subcontractor performance scorecard</w:t>
      </w:r>
    </w:p>
    <w:p/>
    <w:p>
      <w:r/>
      <w:r>
        <w:rPr>
          <w:b/>
        </w:rPr>
        <w:t>Stage 7: Closeout Documentation</w:t>
      </w:r>
      <w:r/>
    </w:p>
    <w:p>
      <w:pPr>
        <w:pStyle w:val="ListParagraph"/>
      </w:pPr>
      <w:r>
        <w:t>Final lien waiver (unconditional)</w:t>
      </w:r>
    </w:p>
    <w:p>
      <w:pPr>
        <w:pStyle w:val="ListParagraph"/>
      </w:pPr>
      <w:r>
        <w:t>As-built drawing submissions</w:t>
      </w:r>
    </w:p>
    <w:p>
      <w:pPr>
        <w:pStyle w:val="ListParagraph"/>
      </w:pPr>
      <w:r>
        <w:t>O&amp;M manual compilation</w:t>
      </w:r>
    </w:p>
    <w:p>
      <w:pPr>
        <w:pStyle w:val="ListParagraph"/>
      </w:pPr>
      <w:r>
        <w:t>Warranty documentation package</w:t>
      </w:r>
    </w:p>
    <w:p>
      <w:pPr>
        <w:pStyle w:val="ListParagraph"/>
      </w:pPr>
      <w:r>
        <w:t>Certificate of substantial completion</w:t>
      </w:r>
    </w:p>
    <w:p/>
    <w:p>
      <w:pPr>
        <w:pStyle w:val="Heading3"/>
      </w:pPr>
      <w:r>
        <w:t>2.2 Digital Onboarding Infrastructure</w:t>
      </w:r>
    </w:p>
    <w:p/>
    <w:p>
      <w:r>
        <w:t>Modern construction firms are transitioning to cloud-based subcontractor management platforms. ConstructCore recommends integration with:</w:t>
      </w:r>
    </w:p>
    <w:p/>
    <w:p>
      <w:pPr>
        <w:pStyle w:val="ListParagraph"/>
      </w:pPr>
      <w:r/>
      <w:r>
        <w:rPr>
          <w:b/>
        </w:rPr>
        <w:t>Procore</w:t>
      </w:r>
      <w:r>
        <w:t>: Project management and compliance tracking</w:t>
      </w:r>
    </w:p>
    <w:p>
      <w:pPr>
        <w:pStyle w:val="ListParagraph"/>
      </w:pPr>
      <w:r/>
      <w:r>
        <w:rPr>
          <w:b/>
        </w:rPr>
        <w:t>DocuSign</w:t>
      </w:r>
      <w:r>
        <w:t>: Electronic signature for lien waivers and contracts</w:t>
      </w:r>
    </w:p>
    <w:p>
      <w:pPr>
        <w:pStyle w:val="ListParagraph"/>
      </w:pPr>
      <w:r/>
      <w:r>
        <w:rPr>
          <w:b/>
        </w:rPr>
        <w:t>BuildingConnected</w:t>
      </w:r>
      <w:r>
        <w:t>: Subcontractor prequalification and bidding</w:t>
      </w:r>
    </w:p>
    <w:p>
      <w:pPr>
        <w:pStyle w:val="ListParagraph"/>
      </w:pPr>
      <w:r/>
      <w:r>
        <w:rPr>
          <w:b/>
        </w:rPr>
        <w:t>Textura</w:t>
      </w:r>
      <w:r>
        <w:t xml:space="preserve"> (Oracle): Payment management and lien waiver processing</w:t>
      </w:r>
    </w:p>
    <w:p>
      <w:pPr>
        <w:pStyle w:val="ListParagraph"/>
      </w:pPr>
      <w:r/>
      <w:r>
        <w:rPr>
          <w:b/>
        </w:rPr>
        <w:t>Levelset</w:t>
      </w:r>
      <w:r>
        <w:t>: Lien rights management and preliminary notice automation</w:t>
      </w:r>
    </w:p>
    <w:p/>
    <w:p>
      <w:r>
        <w:t>---</w:t>
      </w:r>
    </w:p>
    <w:p/>
    <w:p>
      <w:pPr>
        <w:pStyle w:val="Heading2"/>
      </w:pPr>
      <w:r>
        <w:t>Section 3: OSHA Compliance Architecture</w:t>
      </w:r>
    </w:p>
    <w:p/>
    <w:p>
      <w:pPr>
        <w:pStyle w:val="Heading3"/>
      </w:pPr>
      <w:r>
        <w:t>3.1 OSHA 29 CFR 1926 Core Requirements</w:t>
      </w:r>
    </w:p>
    <w:p/>
    <w:p>
      <w:r>
        <w:t>Construction employers with one or more employees must maintain compliance with OSHA's construction industry standards. The following represent the highest-citation categories in 2024:</w:t>
      </w:r>
    </w:p>
    <w:p/>
    <w:p>
      <w:r/>
      <w:r>
        <w:rPr>
          <w:b/>
        </w:rPr>
        <w:t>Top 10 OSHA Construction Citations (2024):</w:t>
      </w:r>
      <w:r/>
    </w:p>
    <w:p/>
    <w:p>
      <w:pPr>
        <w:pStyle w:val="ListParagraph"/>
      </w:pPr>
      <w:r>
        <w:t xml:space="preserve">1. </w:t>
      </w:r>
      <w:r>
        <w:t>Fall Protection (1926.501) — 6,307 citations</w:t>
      </w:r>
    </w:p>
    <w:p>
      <w:pPr>
        <w:pStyle w:val="ListParagraph"/>
      </w:pPr>
      <w:r>
        <w:t xml:space="preserve">2. </w:t>
      </w:r>
      <w:r>
        <w:t>Scaffolding (1926.451) — 3,814 citations</w:t>
      </w:r>
    </w:p>
    <w:p>
      <w:pPr>
        <w:pStyle w:val="ListParagraph"/>
      </w:pPr>
      <w:r>
        <w:t xml:space="preserve">3. </w:t>
      </w:r>
      <w:r>
        <w:t>Ladders (1926.1053) — 2,946 citations</w:t>
      </w:r>
    </w:p>
    <w:p>
      <w:pPr>
        <w:pStyle w:val="ListParagraph"/>
      </w:pPr>
      <w:r>
        <w:t xml:space="preserve">4. </w:t>
      </w:r>
      <w:r>
        <w:t>Eye and Face Protection (1926.102) — 2,074 citations</w:t>
      </w:r>
    </w:p>
    <w:p>
      <w:pPr>
        <w:pStyle w:val="ListParagraph"/>
      </w:pPr>
      <w:r>
        <w:t xml:space="preserve">5. </w:t>
      </w:r>
      <w:r>
        <w:t>Hazard Communication (1910.1200) — 1,947 citations</w:t>
      </w:r>
    </w:p>
    <w:p>
      <w:pPr>
        <w:pStyle w:val="ListParagraph"/>
      </w:pPr>
      <w:r>
        <w:t xml:space="preserve">6. </w:t>
      </w:r>
      <w:r>
        <w:t>Head Protection (1926.100) — 1,683 citations</w:t>
      </w:r>
    </w:p>
    <w:p>
      <w:pPr>
        <w:pStyle w:val="ListParagraph"/>
      </w:pPr>
      <w:r>
        <w:t xml:space="preserve">7. </w:t>
      </w:r>
      <w:r>
        <w:t>Excavation/Trenching (1926.652) — 1,521 citations</w:t>
      </w:r>
    </w:p>
    <w:p>
      <w:pPr>
        <w:pStyle w:val="ListParagraph"/>
      </w:pPr>
      <w:r>
        <w:t xml:space="preserve">8. </w:t>
      </w:r>
      <w:r>
        <w:t>Electrical Wiring (1926.405) — 1,398 citations</w:t>
      </w:r>
    </w:p>
    <w:p>
      <w:pPr>
        <w:pStyle w:val="ListParagraph"/>
      </w:pPr>
      <w:r>
        <w:t xml:space="preserve">9. </w:t>
      </w:r>
      <w:r>
        <w:t>Aerial Lifts (1926.453) — 1,204 citations</w:t>
      </w:r>
    </w:p>
    <w:p>
      <w:pPr>
        <w:pStyle w:val="ListParagraph"/>
      </w:pPr>
      <w:r>
        <w:t xml:space="preserve">10. </w:t>
      </w:r>
      <w:r>
        <w:t>Machinery Guarding (1910.212) — 1,087 citations</w:t>
      </w:r>
    </w:p>
    <w:p/>
    <w:p>
      <w:pPr>
        <w:pStyle w:val="Heading3"/>
      </w:pPr>
      <w:r>
        <w:t>3.2 Required Safety Programs</w:t>
      </w:r>
    </w:p>
    <w:p/>
    <w:p>
      <w:r>
        <w:t>Every construction firm operating on commercial or public projects must maintain written safety programs for:</w:t>
      </w:r>
    </w:p>
    <w:p/>
    <w:p>
      <w:pPr>
        <w:pStyle w:val="ListParagraph"/>
      </w:pPr>
      <w:r>
        <w:t>Hazard Communication (HazCom/GHS)</w:t>
      </w:r>
    </w:p>
    <w:p>
      <w:pPr>
        <w:pStyle w:val="ListParagraph"/>
      </w:pPr>
      <w:r>
        <w:t>Personal Protective Equipment (PPE) assessment</w:t>
      </w:r>
    </w:p>
    <w:p>
      <w:pPr>
        <w:pStyle w:val="ListParagraph"/>
      </w:pPr>
      <w:r>
        <w:t>Fall Protection Plan</w:t>
      </w:r>
    </w:p>
    <w:p>
      <w:pPr>
        <w:pStyle w:val="ListParagraph"/>
      </w:pPr>
      <w:r>
        <w:t>Confined Space Entry Program</w:t>
      </w:r>
    </w:p>
    <w:p>
      <w:pPr>
        <w:pStyle w:val="ListParagraph"/>
      </w:pPr>
      <w:r>
        <w:t>Lockout/Tagout (LOTO) procedures</w:t>
      </w:r>
    </w:p>
    <w:p>
      <w:pPr>
        <w:pStyle w:val="ListParagraph"/>
      </w:pPr>
      <w:r>
        <w:t>Emergency Action Plan</w:t>
      </w:r>
    </w:p>
    <w:p>
      <w:pPr>
        <w:pStyle w:val="ListParagraph"/>
      </w:pPr>
      <w:r>
        <w:t>Heat Illness Prevention (state-specific)</w:t>
      </w:r>
    </w:p>
    <w:p>
      <w:pPr>
        <w:pStyle w:val="ListParagraph"/>
      </w:pPr>
      <w:r>
        <w:t>Silica Exposure Control Plan (post-2017 mandate)</w:t>
      </w:r>
    </w:p>
    <w:p>
      <w:pPr>
        <w:pStyle w:val="ListParagraph"/>
      </w:pPr>
      <w:r>
        <w:t>Respiratory Protection Program</w:t>
      </w:r>
    </w:p>
    <w:p/>
    <w:p>
      <w:pPr>
        <w:pStyle w:val="Heading3"/>
      </w:pPr>
      <w:r>
        <w:t>3.3 OSHA Recordkeeping Requirements</w:t>
      </w:r>
    </w:p>
    <w:p/>
    <w:p>
      <w:r>
        <w:t>Firms with 11 or more employees must maintain:</w:t>
      </w:r>
    </w:p>
    <w:p>
      <w:pPr>
        <w:pStyle w:val="ListParagraph"/>
      </w:pPr>
      <w:r/>
      <w:r>
        <w:rPr>
          <w:b/>
        </w:rPr>
        <w:t>OSHA Form 300</w:t>
      </w:r>
      <w:r>
        <w:t>: Log of Work-Related Injuries and Illnesses</w:t>
      </w:r>
    </w:p>
    <w:p>
      <w:pPr>
        <w:pStyle w:val="ListParagraph"/>
      </w:pPr>
      <w:r/>
      <w:r>
        <w:rPr>
          <w:b/>
        </w:rPr>
        <w:t>OSHA Form 300A</w:t>
      </w:r>
      <w:r>
        <w:t>: Summary of Work-Related Injuries (posted Feb 1 – Apr 30 annually)</w:t>
      </w:r>
    </w:p>
    <w:p>
      <w:pPr>
        <w:pStyle w:val="ListParagraph"/>
      </w:pPr>
      <w:r/>
      <w:r>
        <w:rPr>
          <w:b/>
        </w:rPr>
        <w:t>OSHA Form 301</w:t>
      </w:r>
      <w:r>
        <w:t>: Injury and Illness Incident Report</w:t>
      </w:r>
    </w:p>
    <w:p/>
    <w:p>
      <w:r>
        <w:t>Electronic submission required for establishments with 100+ employees in high-hazard industries.</w:t>
      </w:r>
    </w:p>
    <w:p/>
    <w:p>
      <w:r>
        <w:t>---</w:t>
      </w:r>
    </w:p>
    <w:p/>
    <w:p>
      <w:pPr>
        <w:pStyle w:val="Heading2"/>
      </w:pPr>
      <w:r>
        <w:t>Section 4: Real Estate Development Documentation</w:t>
      </w:r>
    </w:p>
    <w:p/>
    <w:p>
      <w:pPr>
        <w:pStyle w:val="Heading3"/>
      </w:pPr>
      <w:r>
        <w:t>4.1 Pre-Development Due Diligence Package</w:t>
      </w:r>
    </w:p>
    <w:p/>
    <w:p>
      <w:r>
        <w:t>Before breaking ground on any commercial real estate development, developers must compile:</w:t>
      </w:r>
    </w:p>
    <w:p/>
    <w:p>
      <w:r/>
      <w:r>
        <w:rPr>
          <w:b/>
        </w:rPr>
        <w:t>Site Analysis Documentation:</w:t>
      </w:r>
      <w:r/>
    </w:p>
    <w:p>
      <w:pPr>
        <w:pStyle w:val="ListParagraph"/>
      </w:pPr>
      <w:r>
        <w:t>Phase I Environmental Site Assessment (ASTM E1527-21)</w:t>
      </w:r>
    </w:p>
    <w:p>
      <w:pPr>
        <w:pStyle w:val="ListParagraph"/>
      </w:pPr>
      <w:r>
        <w:t>Phase II ESA (if Phase I reveals recognized environmental conditions)</w:t>
      </w:r>
    </w:p>
    <w:p>
      <w:pPr>
        <w:pStyle w:val="ListParagraph"/>
      </w:pPr>
      <w:r>
        <w:t>Geotechnical investigation report</w:t>
      </w:r>
    </w:p>
    <w:p>
      <w:pPr>
        <w:pStyle w:val="ListParagraph"/>
      </w:pPr>
      <w:r>
        <w:t>Survey (ALTA/NSPS Land Title Survey)</w:t>
      </w:r>
    </w:p>
    <w:p>
      <w:pPr>
        <w:pStyle w:val="ListParagraph"/>
      </w:pPr>
      <w:r>
        <w:t>Title search and commitment for title insurance</w:t>
      </w:r>
    </w:p>
    <w:p>
      <w:pPr>
        <w:pStyle w:val="ListParagraph"/>
      </w:pPr>
      <w:r>
        <w:t>Flood zone determination (FEMA FIRM maps)</w:t>
      </w:r>
    </w:p>
    <w:p/>
    <w:p>
      <w:r/>
      <w:r>
        <w:rPr>
          <w:b/>
        </w:rPr>
        <w:t>Entitlement Documentation:</w:t>
      </w:r>
      <w:r/>
    </w:p>
    <w:p>
      <w:pPr>
        <w:pStyle w:val="ListParagraph"/>
      </w:pPr>
      <w:r>
        <w:t>Zoning analysis and permitted use confirmation</w:t>
      </w:r>
    </w:p>
    <w:p>
      <w:pPr>
        <w:pStyle w:val="ListParagraph"/>
      </w:pPr>
      <w:r>
        <w:t>Conditional use permit applications</w:t>
      </w:r>
    </w:p>
    <w:p>
      <w:pPr>
        <w:pStyle w:val="ListParagraph"/>
      </w:pPr>
      <w:r>
        <w:t>Variance applications and hearing documentation</w:t>
      </w:r>
    </w:p>
    <w:p>
      <w:pPr>
        <w:pStyle w:val="ListParagraph"/>
      </w:pPr>
      <w:r>
        <w:t>Development agreement with municipality</w:t>
      </w:r>
    </w:p>
    <w:p>
      <w:pPr>
        <w:pStyle w:val="ListParagraph"/>
      </w:pPr>
      <w:r>
        <w:t>Traffic impact analysis</w:t>
      </w:r>
    </w:p>
    <w:p>
      <w:pPr>
        <w:pStyle w:val="ListParagraph"/>
      </w:pPr>
      <w:r>
        <w:t>Utility capacity confirmations</w:t>
      </w:r>
    </w:p>
    <w:p/>
    <w:p>
      <w:r/>
      <w:r>
        <w:rPr>
          <w:b/>
        </w:rPr>
        <w:t>Financial Documentation:</w:t>
      </w:r>
      <w:r/>
    </w:p>
    <w:p>
      <w:pPr>
        <w:pStyle w:val="ListParagraph"/>
      </w:pPr>
      <w:r>
        <w:t>Pro forma financial analysis</w:t>
      </w:r>
    </w:p>
    <w:p>
      <w:pPr>
        <w:pStyle w:val="ListParagraph"/>
      </w:pPr>
      <w:r>
        <w:t>Construction loan term sheet</w:t>
      </w:r>
    </w:p>
    <w:p>
      <w:pPr>
        <w:pStyle w:val="ListParagraph"/>
      </w:pPr>
      <w:r>
        <w:t>Equity commitment letters</w:t>
      </w:r>
    </w:p>
    <w:p>
      <w:pPr>
        <w:pStyle w:val="ListParagraph"/>
      </w:pPr>
      <w:r>
        <w:t>Cost segregation study</w:t>
      </w:r>
    </w:p>
    <w:p>
      <w:pPr>
        <w:pStyle w:val="ListParagraph"/>
      </w:pPr>
      <w:r>
        <w:t>1031 exchange documentation (if applicable)</w:t>
      </w:r>
    </w:p>
    <w:p/>
    <w:p>
      <w:pPr>
        <w:pStyle w:val="Heading3"/>
      </w:pPr>
      <w:r>
        <w:t>4.2 Construction Loan Documentation Package</w:t>
      </w:r>
    </w:p>
    <w:p/>
    <w:p>
      <w:r>
        <w:t>Lenders require comprehensive documentation packages for construction financing:</w:t>
      </w:r>
    </w:p>
    <w:p/>
    <w:p>
      <w:r/>
      <w:r>
        <w:rPr>
          <w:b/>
        </w:rPr>
        <w:t>Required for Construction Loan Closing:</w:t>
      </w:r>
      <w:r/>
    </w:p>
    <w:p>
      <w:pPr>
        <w:pStyle w:val="ListParagraph"/>
      </w:pPr>
      <w:r>
        <w:t>Signed AIA Owner-Contractor Agreement</w:t>
      </w:r>
    </w:p>
    <w:p>
      <w:pPr>
        <w:pStyle w:val="ListParagraph"/>
      </w:pPr>
      <w:r>
        <w:t>Complete construction drawings (100% CD set)</w:t>
      </w:r>
    </w:p>
    <w:p>
      <w:pPr>
        <w:pStyle w:val="ListParagraph"/>
      </w:pPr>
      <w:r>
        <w:t>Specifications manual</w:t>
      </w:r>
    </w:p>
    <w:p>
      <w:pPr>
        <w:pStyle w:val="ListParagraph"/>
      </w:pPr>
      <w:r>
        <w:t>Geotechnical report</w:t>
      </w:r>
    </w:p>
    <w:p>
      <w:pPr>
        <w:pStyle w:val="ListParagraph"/>
      </w:pPr>
      <w:r>
        <w:t>Environmental clearance</w:t>
      </w:r>
    </w:p>
    <w:p>
      <w:pPr>
        <w:pStyle w:val="ListParagraph"/>
      </w:pPr>
      <w:r>
        <w:t>All permits (building, grading, MEP)</w:t>
      </w:r>
    </w:p>
    <w:p>
      <w:pPr>
        <w:pStyle w:val="ListParagraph"/>
      </w:pPr>
      <w:r>
        <w:t>Construction budget (detailed line-item)</w:t>
      </w:r>
    </w:p>
    <w:p>
      <w:pPr>
        <w:pStyle w:val="ListParagraph"/>
      </w:pPr>
      <w:r>
        <w:t>Construction schedule (CPM/Gantt)</w:t>
      </w:r>
    </w:p>
    <w:p>
      <w:pPr>
        <w:pStyle w:val="ListParagraph"/>
      </w:pPr>
      <w:r>
        <w:t>Contractor qualifications and financial statements</w:t>
      </w:r>
    </w:p>
    <w:p>
      <w:pPr>
        <w:pStyle w:val="ListParagraph"/>
      </w:pPr>
      <w:r>
        <w:t>Payment and performance bonds</w:t>
      </w:r>
    </w:p>
    <w:p>
      <w:pPr>
        <w:pStyle w:val="ListParagraph"/>
      </w:pPr>
      <w:r>
        <w:t>Builder's risk insurance policy</w:t>
      </w:r>
    </w:p>
    <w:p>
      <w:pPr>
        <w:pStyle w:val="ListParagraph"/>
      </w:pPr>
      <w:r>
        <w:t>Title insurance (lender's policy)</w:t>
      </w:r>
    </w:p>
    <w:p/>
    <w:p>
      <w:pPr>
        <w:pStyle w:val="Heading3"/>
      </w:pPr>
      <w:r>
        <w:t>4.3 Property Management Onboarding</w:t>
      </w:r>
    </w:p>
    <w:p/>
    <w:p>
      <w:r>
        <w:t>For stabilized assets transitioning to property management:</w:t>
      </w:r>
    </w:p>
    <w:p/>
    <w:p>
      <w:pPr>
        <w:pStyle w:val="ListParagraph"/>
      </w:pPr>
      <w:r>
        <w:t>Lease abstract compilation</w:t>
      </w:r>
    </w:p>
    <w:p>
      <w:pPr>
        <w:pStyle w:val="ListParagraph"/>
      </w:pPr>
      <w:r>
        <w:t>Tenant estoppel certificates</w:t>
      </w:r>
    </w:p>
    <w:p>
      <w:pPr>
        <w:pStyle w:val="ListParagraph"/>
      </w:pPr>
      <w:r>
        <w:t>SNDA agreements (Subordination, Non-Disturbance, Attornment)</w:t>
      </w:r>
    </w:p>
    <w:p>
      <w:pPr>
        <w:pStyle w:val="ListParagraph"/>
      </w:pPr>
      <w:r>
        <w:t>Operating expense reconciliation history</w:t>
      </w:r>
    </w:p>
    <w:p>
      <w:pPr>
        <w:pStyle w:val="ListParagraph"/>
      </w:pPr>
      <w:r>
        <w:t>CAM audit documentation</w:t>
      </w:r>
    </w:p>
    <w:p>
      <w:pPr>
        <w:pStyle w:val="ListParagraph"/>
      </w:pPr>
      <w:r>
        <w:t>Deferred maintenance inspection report</w:t>
      </w:r>
    </w:p>
    <w:p>
      <w:pPr>
        <w:pStyle w:val="ListParagraph"/>
      </w:pPr>
      <w:r>
        <w:t>Capital improvement reserve analysis</w:t>
      </w:r>
    </w:p>
    <w:p/>
    <w:p>
      <w:r>
        <w:t>---</w:t>
      </w:r>
    </w:p>
    <w:p/>
    <w:p>
      <w:pPr>
        <w:pStyle w:val="Heading2"/>
      </w:pPr>
      <w:r>
        <w:t>Section 5: Bonding &amp; Surety Documentation</w:t>
      </w:r>
    </w:p>
    <w:p/>
    <w:p>
      <w:pPr>
        <w:pStyle w:val="Heading3"/>
      </w:pPr>
      <w:r>
        <w:t>5.1 Understanding Surety Bonds</w:t>
      </w:r>
    </w:p>
    <w:p/>
    <w:p>
      <w:r>
        <w:t>Construction projects above $150,000 on federal work (Miller Act) and most state/local projects require surety bonds:</w:t>
      </w:r>
    </w:p>
    <w:p/>
    <w:p>
      <w:r/>
      <w:r>
        <w:rPr>
          <w:b/>
        </w:rPr>
        <w:t>Bid Bond</w:t>
      </w:r>
      <w:r>
        <w:t>: Guarantees contractor will execute contract if awarded (typically 5–10% of bid)</w:t>
      </w:r>
    </w:p>
    <w:p>
      <w:r/>
      <w:r>
        <w:rPr>
          <w:b/>
        </w:rPr>
        <w:t>Performance Bond</w:t>
      </w:r>
      <w:r>
        <w:t>: Guarantees project completion per contract terms (100% of contract value)</w:t>
      </w:r>
    </w:p>
    <w:p>
      <w:r/>
      <w:r>
        <w:rPr>
          <w:b/>
        </w:rPr>
        <w:t>Payment Bond</w:t>
      </w:r>
      <w:r>
        <w:t>: Guarantees payment to subcontractors and suppliers (100% of contract value)</w:t>
      </w:r>
    </w:p>
    <w:p/>
    <w:p>
      <w:pPr>
        <w:pStyle w:val="Heading3"/>
      </w:pPr>
      <w:r>
        <w:t>5.2 Bonding Capacity Documentation</w:t>
      </w:r>
    </w:p>
    <w:p/>
    <w:p>
      <w:r>
        <w:t>To maximize bonding capacity, contractors must maintain:</w:t>
      </w:r>
    </w:p>
    <w:p/>
    <w:p>
      <w:r/>
      <w:r>
        <w:rPr>
          <w:b/>
        </w:rPr>
        <w:t>Financial Documentation:</w:t>
      </w:r>
      <w:r/>
    </w:p>
    <w:p>
      <w:pPr>
        <w:pStyle w:val="ListParagraph"/>
      </w:pPr>
      <w:r>
        <w:t>CPA-prepared financial statements (reviewed or audited preferred)</w:t>
      </w:r>
    </w:p>
    <w:p>
      <w:pPr>
        <w:pStyle w:val="ListParagraph"/>
      </w:pPr>
      <w:r>
        <w:t>Work-in-progress (WIP) schedule</w:t>
      </w:r>
    </w:p>
    <w:p>
      <w:pPr>
        <w:pStyle w:val="ListParagraph"/>
      </w:pPr>
      <w:r>
        <w:t>Backlog analysis</w:t>
      </w:r>
    </w:p>
    <w:p>
      <w:pPr>
        <w:pStyle w:val="ListParagraph"/>
      </w:pPr>
      <w:r>
        <w:t>Banking relationships and line of credit confirmations</w:t>
      </w:r>
    </w:p>
    <w:p>
      <w:pPr>
        <w:pStyle w:val="ListParagraph"/>
      </w:pPr>
      <w:r>
        <w:t>Equipment schedule and depreciation analysis</w:t>
      </w:r>
    </w:p>
    <w:p/>
    <w:p>
      <w:r/>
      <w:r>
        <w:rPr>
          <w:b/>
        </w:rPr>
        <w:t>Operational Documentation:</w:t>
      </w:r>
      <w:r/>
    </w:p>
    <w:p>
      <w:pPr>
        <w:pStyle w:val="ListParagraph"/>
      </w:pPr>
      <w:r>
        <w:t>Organizational chart and key personnel resumes</w:t>
      </w:r>
    </w:p>
    <w:p>
      <w:pPr>
        <w:pStyle w:val="ListParagraph"/>
      </w:pPr>
      <w:r>
        <w:t>Project history (last 3–5 years)</w:t>
      </w:r>
    </w:p>
    <w:p>
      <w:pPr>
        <w:pStyle w:val="ListParagraph"/>
      </w:pPr>
      <w:r>
        <w:t>Current project list with completion percentages</w:t>
      </w:r>
    </w:p>
    <w:p>
      <w:pPr>
        <w:pStyle w:val="ListParagraph"/>
      </w:pPr>
      <w:r>
        <w:t>Safety record (EMR from insurance carrier)</w:t>
      </w:r>
    </w:p>
    <w:p>
      <w:pPr>
        <w:pStyle w:val="ListParagraph"/>
      </w:pPr>
      <w:r>
        <w:t>Bank and trade references</w:t>
      </w:r>
    </w:p>
    <w:p/>
    <w:p>
      <w:pPr>
        <w:pStyle w:val="Heading3"/>
      </w:pPr>
      <w:r>
        <w:t>5.3 Building Bonding Capacity</w:t>
      </w:r>
    </w:p>
    <w:p/>
    <w:p>
      <w:r>
        <w:t>Typical single-project and aggregate bonding capacity ratios:</w:t>
      </w:r>
    </w:p>
    <w:p/>
    <w:p>
      <w:r>
        <w:t>| Annual Revenue | Typical Single Job Limit | Typical Aggregate |</w:t>
      </w:r>
    </w:p>
    <w:p>
      <w:r>
        <w:t>|---|---|---|</w:t>
      </w:r>
    </w:p>
    <w:p>
      <w:r>
        <w:t>| $5M | $3M | $8M |</w:t>
      </w:r>
    </w:p>
    <w:p>
      <w:r>
        <w:t>| $10M | $6M | $15M |</w:t>
      </w:r>
    </w:p>
    <w:p>
      <w:r>
        <w:t>| $25M | $15M | $35M |</w:t>
      </w:r>
    </w:p>
    <w:p>
      <w:r>
        <w:t>| $50M | $25M | $65M |</w:t>
      </w:r>
    </w:p>
    <w:p>
      <w:r>
        <w:t>| $100M | $50M | $130M |</w:t>
      </w:r>
    </w:p>
    <w:p/>
    <w:p>
      <w:r>
        <w:t>---</w:t>
      </w:r>
    </w:p>
    <w:p/>
    <w:p>
      <w:pPr>
        <w:pStyle w:val="Heading2"/>
      </w:pPr>
      <w:r>
        <w:t>Section 6: ConstructCore Service Packages</w:t>
      </w:r>
    </w:p>
    <w:p/>
    <w:p>
      <w:pPr>
        <w:pStyle w:val="Heading3"/>
      </w:pPr>
      <w:r>
        <w:t>6.1 Package Tiers</w:t>
      </w:r>
    </w:p>
    <w:p/>
    <w:p>
      <w:r/>
      <w:r>
        <w:rPr>
          <w:b/>
        </w:rPr>
        <w:t>Starter Package — $1,000</w:t>
      </w:r>
      <w:r/>
    </w:p>
    <w:p>
      <w:pPr>
        <w:pStyle w:val="ListParagraph"/>
      </w:pPr>
      <w:r>
        <w:t>Subcontractor onboarding documentation template set</w:t>
      </w:r>
    </w:p>
    <w:p>
      <w:pPr>
        <w:pStyle w:val="ListParagraph"/>
      </w:pPr>
      <w:r>
        <w:t>OSHA compliance checklist and program templates</w:t>
      </w:r>
    </w:p>
    <w:p>
      <w:pPr>
        <w:pStyle w:val="ListParagraph"/>
      </w:pPr>
      <w:r>
        <w:t>Insurance requirement specifications</w:t>
      </w:r>
    </w:p>
    <w:p>
      <w:pPr>
        <w:pStyle w:val="ListParagraph"/>
      </w:pPr>
      <w:r>
        <w:t>Basic capabilities one-pager</w:t>
      </w:r>
    </w:p>
    <w:p/>
    <w:p>
      <w:r/>
      <w:r>
        <w:rPr>
          <w:b/>
        </w:rPr>
        <w:t>Professional Package — $2,500</w:t>
      </w:r>
      <w:r/>
    </w:p>
    <w:p>
      <w:pPr>
        <w:pStyle w:val="ListParagraph"/>
      </w:pPr>
      <w:r>
        <w:t>Complete subcontractor prequalification system</w:t>
      </w:r>
    </w:p>
    <w:p>
      <w:pPr>
        <w:pStyle w:val="ListParagraph"/>
      </w:pPr>
      <w:r>
        <w:t>Full OSHA safety program documentation suite</w:t>
      </w:r>
    </w:p>
    <w:p>
      <w:pPr>
        <w:pStyle w:val="ListParagraph"/>
      </w:pPr>
      <w:r>
        <w:t>Project-specific compliance report (custom research)</w:t>
      </w:r>
    </w:p>
    <w:p>
      <w:pPr>
        <w:pStyle w:val="ListParagraph"/>
      </w:pPr>
      <w:r>
        <w:t>10-slide capabilities briefing deck</w:t>
      </w:r>
    </w:p>
    <w:p>
      <w:pPr>
        <w:pStyle w:val="ListParagraph"/>
      </w:pPr>
      <w:r>
        <w:t>Bonding capacity documentation package</w:t>
      </w:r>
    </w:p>
    <w:p/>
    <w:p>
      <w:r/>
      <w:r>
        <w:rPr>
          <w:b/>
        </w:rPr>
        <w:t>Enterprise Package — $4,500</w:t>
      </w:r>
      <w:r/>
    </w:p>
    <w:p>
      <w:pPr>
        <w:pStyle w:val="ListParagraph"/>
      </w:pPr>
      <w:r>
        <w:t>Full professional package plus:</w:t>
      </w:r>
    </w:p>
    <w:p>
      <w:pPr>
        <w:pStyle w:val="ListParagraph"/>
      </w:pPr>
      <w:r>
        <w:t>Construction loan documentation package</w:t>
      </w:r>
    </w:p>
    <w:p>
      <w:pPr>
        <w:pStyle w:val="ListParagraph"/>
      </w:pPr>
      <w:r>
        <w:t>Real estate development due diligence templates</w:t>
      </w:r>
    </w:p>
    <w:p>
      <w:pPr>
        <w:pStyle w:val="ListParagraph"/>
      </w:pPr>
      <w:r>
        <w:t>Narrated explainer video (60 seconds)</w:t>
      </w:r>
    </w:p>
    <w:p>
      <w:pPr>
        <w:pStyle w:val="ListParagraph"/>
      </w:pPr>
      <w:r>
        <w:t>Quarterly regulatory update reports</w:t>
      </w:r>
    </w:p>
    <w:p/>
    <w:p>
      <w:r/>
      <w:r>
        <w:rPr>
          <w:b/>
        </w:rPr>
        <w:t>Retainer — $1,500/month</w:t>
      </w:r>
      <w:r/>
    </w:p>
    <w:p>
      <w:pPr>
        <w:pStyle w:val="ListParagraph"/>
      </w:pPr>
      <w:r>
        <w:t>Monthly compliance monitoring reports</w:t>
      </w:r>
    </w:p>
    <w:p>
      <w:pPr>
        <w:pStyle w:val="ListParagraph"/>
      </w:pPr>
      <w:r>
        <w:t>Regulatory change alerts (OSHA, state-level)</w:t>
      </w:r>
    </w:p>
    <w:p>
      <w:pPr>
        <w:pStyle w:val="ListParagraph"/>
      </w:pPr>
      <w:r>
        <w:t>On-demand documentation updates</w:t>
      </w:r>
    </w:p>
    <w:p>
      <w:pPr>
        <w:pStyle w:val="ListParagraph"/>
      </w:pPr>
      <w:r>
        <w:t>Priority 48-hour turnaround on all requests</w:t>
      </w:r>
    </w:p>
    <w:p/>
    <w:p>
      <w:r>
        <w:t>---</w:t>
      </w:r>
    </w:p>
    <w:p/>
    <w:p>
      <w:pPr>
        <w:pStyle w:val="Heading2"/>
      </w:pPr>
      <w:r>
        <w:t>Section 7: Implementation Roadmap</w:t>
      </w:r>
    </w:p>
    <w:p/>
    <w:p>
      <w:pPr>
        <w:pStyle w:val="Heading3"/>
      </w:pPr>
      <w:r>
        <w:t>Phase 1: Assessment (Week 1)</w:t>
      </w:r>
    </w:p>
    <w:p>
      <w:pPr>
        <w:pStyle w:val="ListParagraph"/>
      </w:pPr>
      <w:r>
        <w:t>Current documentation audit</w:t>
      </w:r>
    </w:p>
    <w:p>
      <w:pPr>
        <w:pStyle w:val="ListParagraph"/>
      </w:pPr>
      <w:r>
        <w:t>Compliance gap analysis</w:t>
      </w:r>
    </w:p>
    <w:p>
      <w:pPr>
        <w:pStyle w:val="ListParagraph"/>
      </w:pPr>
      <w:r>
        <w:t>Risk prioritization matrix</w:t>
      </w:r>
    </w:p>
    <w:p/>
    <w:p>
      <w:pPr>
        <w:pStyle w:val="Heading3"/>
      </w:pPr>
      <w:r>
        <w:t>Phase 2: Foundation (Weeks 2–3)</w:t>
      </w:r>
    </w:p>
    <w:p>
      <w:pPr>
        <w:pStyle w:val="ListParagraph"/>
      </w:pPr>
      <w:r>
        <w:t>Core safety program development</w:t>
      </w:r>
    </w:p>
    <w:p>
      <w:pPr>
        <w:pStyle w:val="ListParagraph"/>
      </w:pPr>
      <w:r>
        <w:t>Subcontractor onboarding system implementation</w:t>
      </w:r>
    </w:p>
    <w:p>
      <w:pPr>
        <w:pStyle w:val="ListParagraph"/>
      </w:pPr>
      <w:r>
        <w:t>Insurance requirement standardization</w:t>
      </w:r>
    </w:p>
    <w:p/>
    <w:p>
      <w:pPr>
        <w:pStyle w:val="Heading3"/>
      </w:pPr>
      <w:r>
        <w:t>Phase 3: Integration (Week 4)</w:t>
      </w:r>
    </w:p>
    <w:p>
      <w:pPr>
        <w:pStyle w:val="ListParagraph"/>
      </w:pPr>
      <w:r>
        <w:t>Digital platform integration (Procore, DocuSign)</w:t>
      </w:r>
    </w:p>
    <w:p>
      <w:pPr>
        <w:pStyle w:val="ListParagraph"/>
      </w:pPr>
      <w:r>
        <w:t>Team training and protocol documentation</w:t>
      </w:r>
    </w:p>
    <w:p>
      <w:pPr>
        <w:pStyle w:val="ListParagraph"/>
      </w:pPr>
      <w:r>
        <w:t>KPI baseline establishment</w:t>
      </w:r>
    </w:p>
    <w:p/>
    <w:p>
      <w:pPr>
        <w:pStyle w:val="Heading3"/>
      </w:pPr>
      <w:r>
        <w:t>Phase 4: Optimization (Ongoing)</w:t>
      </w:r>
    </w:p>
    <w:p>
      <w:pPr>
        <w:pStyle w:val="ListParagraph"/>
      </w:pPr>
      <w:r>
        <w:t>Monthly compliance monitoring</w:t>
      </w:r>
    </w:p>
    <w:p>
      <w:pPr>
        <w:pStyle w:val="ListParagraph"/>
      </w:pPr>
      <w:r>
        <w:t>Quarterly regulatory updates</w:t>
      </w:r>
    </w:p>
    <w:p>
      <w:pPr>
        <w:pStyle w:val="ListParagraph"/>
      </w:pPr>
      <w:r>
        <w:t>Annual program review and refresh</w:t>
      </w:r>
    </w:p>
    <w:p/>
    <w:p>
      <w:r>
        <w:t>---</w:t>
      </w:r>
    </w:p>
    <w:p/>
    <w:p>
      <w:pPr>
        <w:pStyle w:val="Heading2"/>
      </w:pPr>
      <w:r>
        <w:t>Conclusion</w:t>
      </w:r>
    </w:p>
    <w:p/>
    <w:p>
      <w:r>
        <w:t>The construction and real estate industry stands at an inflection point. Firms that invest in documentation infrastructure today will capture disproportionate bonding capacity, insurance savings, and contract awards tomorrow. ConstructCore Solutions delivers the complete documentation ecosystem — built for the pace of modern construction, priced for the mid-market.</w:t>
      </w:r>
    </w:p>
    <w:p/>
    <w:p>
      <w:r/>
      <w:r>
        <w:rPr>
          <w:b/>
        </w:rPr>
        <w:t>Contact ConstructCore Solutions today to receive your complimentary compliance gap assessment.</w:t>
      </w:r>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40"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2C3E50"/>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34495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34495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before="960"/>
      <w:contextualSpacing/>
      <w:jc w:val="center"/>
    </w:pPr>
    <w:rPr>
      <w:rFonts w:asciiTheme="majorHAnsi" w:eastAsiaTheme="majorEastAsia" w:hAnsiTheme="majorHAnsi" w:cstheme="majorBidi" w:ascii="Calibri" w:hAnsi="Calibri"/>
      <w:b/>
      <w:color w:val="2C3E5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3333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333333"/>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Subtitle">
    <w:name w:val="Book Subtitle"/>
    <w:pPr>
      <w:spacing w:before="240" w:after="720"/>
      <w:jc w:val="center"/>
    </w:pPr>
    <w:rPr>
      <w:rFonts w:ascii="Calibri" w:hAnsi="Calibri"/>
      <w:i/>
      <w:color w:val="34495E"/>
      <w:sz w:val="28"/>
    </w:rPr>
  </w:style>
  <w:style w:type="paragraph" w:customStyle="1" w:styleId="ImageCaption">
    <w:name w:val="Image Caption"/>
    <w:pPr>
      <w:spacing w:before="120" w:after="240"/>
      <w:jc w:val="center"/>
    </w:pPr>
    <w:rPr>
      <w:rFonts w:ascii="Calibri" w:hAnsi="Calibri"/>
      <w:i/>
      <w:color w:val="666666"/>
      <w:sz w:val="18"/>
    </w:rPr>
  </w:style>
  <w:style w:type="paragraph" w:customStyle="1" w:styleId="BookQuote">
    <w:name w:val="Book Quote"/>
    <w:pPr>
      <w:spacing w:before="240" w:after="240"/>
      <w:ind w:left="720" w:right="720"/>
      <w:jc w:val="center"/>
    </w:pPr>
    <w:rPr>
      <w:rFonts w:ascii="Calibri" w:hAnsi="Calibri"/>
      <w:i/>
      <w:color w:val="666666"/>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