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LexBridge Legal Intelligence</w:t>
      </w:r>
    </w:p>
    <w:p>
      <w:pPr>
        <w:pStyle w:val="Heading2"/>
      </w:pPr>
      <w:r>
        <w:t>Corporate Legal Compliance &amp; Onboarding Asset Package 2025</w:t>
      </w:r>
    </w:p>
    <w:p/>
    <w:p>
      <w:pPr>
        <w:pStyle w:val="Heading2"/>
      </w:pPr>
      <w:r>
        <w:t>Executive Summary</w:t>
      </w:r>
    </w:p>
    <w:p/>
    <w:p>
      <w:r>
        <w:t>LexBridge Legal Intelligence delivers enterprise-grade legal compliance documentation, regulatory onboarding infrastructure, and corporate governance frameworks for mid-market businesses, growing startups, and regional enterprises navigating complex legal terrain without in-house counsel. With outside legal fees averaging $350–$850/hour and legal operations costs consuming 2–4% of enterprise revenue, LexBridge provides the documentation intelligence layer that reduces legal risk exposure while cutting compliance costs by up to 60%.</w:t>
      </w:r>
    </w:p>
    <w:p/>
    <w:p>
      <w:r>
        <w:t>This report covers corporate governance frameworks, employment law compliance, contract management infrastructure, data privacy regulatory requirements (CCPA, GDPR), intellectual property protection protocols, and the complete legal onboarding architecture for modern businesses operating at scale.</w:t>
      </w:r>
    </w:p>
    <w:p/>
    <w:p>
      <w:r>
        <w:t>---</w:t>
      </w:r>
    </w:p>
    <w:p/>
    <w:p>
      <w:pPr>
        <w:pStyle w:val="Heading2"/>
      </w:pPr>
      <w:r>
        <w:t>Section 1: Corporate Governance Framework</w:t>
      </w:r>
    </w:p>
    <w:p/>
    <w:p>
      <w:pPr>
        <w:pStyle w:val="Heading3"/>
      </w:pPr>
      <w:r>
        <w:t>1.1 Entity Structure &amp; Documentation</w:t>
      </w:r>
    </w:p>
    <w:p/>
    <w:p>
      <w:r>
        <w:t>Every business entity — regardless of size — requires a foundational governance documentation stack. LexBridge identifies four critical governance layers:</w:t>
      </w:r>
    </w:p>
    <w:p/>
    <w:p>
      <w:r/>
      <w:r>
        <w:rPr>
          <w:b/>
        </w:rPr>
        <w:t>Layer 1: Formation Documents</w:t>
      </w:r>
      <w:r/>
    </w:p>
    <w:p>
      <w:pPr>
        <w:pStyle w:val="ListParagraph"/>
      </w:pPr>
      <w:r>
        <w:t>Articles of Incorporation / Articles of Organization</w:t>
      </w:r>
    </w:p>
    <w:p>
      <w:pPr>
        <w:pStyle w:val="ListParagraph"/>
      </w:pPr>
      <w:r>
        <w:t>Operating Agreement (LLC) or Bylaws (Corporation)</w:t>
      </w:r>
    </w:p>
    <w:p>
      <w:pPr>
        <w:pStyle w:val="ListParagraph"/>
      </w:pPr>
      <w:r>
        <w:t>EIN assignment letter (IRS Form SS-4)</w:t>
      </w:r>
    </w:p>
    <w:p>
      <w:pPr>
        <w:pStyle w:val="ListParagraph"/>
      </w:pPr>
      <w:r>
        <w:t>State business registration certificates</w:t>
      </w:r>
    </w:p>
    <w:p>
      <w:pPr>
        <w:pStyle w:val="ListParagraph"/>
      </w:pPr>
      <w:r>
        <w:t>Fictitious business name / DBA registrations</w:t>
      </w:r>
    </w:p>
    <w:p>
      <w:pPr>
        <w:pStyle w:val="ListParagraph"/>
      </w:pPr>
      <w:r>
        <w:t>Foreign qualification certificates (multi-state operations)</w:t>
      </w:r>
    </w:p>
    <w:p/>
    <w:p>
      <w:r/>
      <w:r>
        <w:rPr>
          <w:b/>
        </w:rPr>
        <w:t>Layer 2: Ownership Documentation</w:t>
      </w:r>
      <w:r/>
    </w:p>
    <w:p>
      <w:pPr>
        <w:pStyle w:val="ListParagraph"/>
      </w:pPr>
      <w:r>
        <w:t>Cap table (capitalization table) — maintained in real-time</w:t>
      </w:r>
    </w:p>
    <w:p>
      <w:pPr>
        <w:pStyle w:val="ListParagraph"/>
      </w:pPr>
      <w:r>
        <w:t>Stock ledger and certificate register</w:t>
      </w:r>
    </w:p>
    <w:p>
      <w:pPr>
        <w:pStyle w:val="ListParagraph"/>
      </w:pPr>
      <w:r>
        <w:t>Membership interest register (LLCs)</w:t>
      </w:r>
    </w:p>
    <w:p>
      <w:pPr>
        <w:pStyle w:val="ListParagraph"/>
      </w:pPr>
      <w:r>
        <w:t>Buy-sell agreement</w:t>
      </w:r>
    </w:p>
    <w:p>
      <w:pPr>
        <w:pStyle w:val="ListParagraph"/>
      </w:pPr>
      <w:r>
        <w:t>Shareholder agreement or voting agreement</w:t>
      </w:r>
    </w:p>
    <w:p>
      <w:pPr>
        <w:pStyle w:val="ListParagraph"/>
      </w:pPr>
      <w:r>
        <w:t>Right of first refusal agreements</w:t>
      </w:r>
    </w:p>
    <w:p/>
    <w:p>
      <w:r/>
      <w:r>
        <w:rPr>
          <w:b/>
        </w:rPr>
        <w:t>Layer 3: Board &amp; Management Documentation</w:t>
      </w:r>
      <w:r/>
    </w:p>
    <w:p>
      <w:pPr>
        <w:pStyle w:val="ListParagraph"/>
      </w:pPr>
      <w:r>
        <w:t>Board of Directors resolution log</w:t>
      </w:r>
    </w:p>
    <w:p>
      <w:pPr>
        <w:pStyle w:val="ListParagraph"/>
      </w:pPr>
      <w:r>
        <w:t>Officer appointment resolutions</w:t>
      </w:r>
    </w:p>
    <w:p>
      <w:pPr>
        <w:pStyle w:val="ListParagraph"/>
      </w:pPr>
      <w:r>
        <w:t>Annual meeting minutes</w:t>
      </w:r>
    </w:p>
    <w:p>
      <w:pPr>
        <w:pStyle w:val="ListParagraph"/>
      </w:pPr>
      <w:r>
        <w:t>Written consents in lieu of meeting</w:t>
      </w:r>
    </w:p>
    <w:p>
      <w:pPr>
        <w:pStyle w:val="ListParagraph"/>
      </w:pPr>
      <w:r>
        <w:t>Indemnification agreements for directors/officers</w:t>
      </w:r>
    </w:p>
    <w:p>
      <w:pPr>
        <w:pStyle w:val="ListParagraph"/>
      </w:pPr>
      <w:r>
        <w:t>D&amp;O insurance policy documentation</w:t>
      </w:r>
    </w:p>
    <w:p/>
    <w:p>
      <w:r/>
      <w:r>
        <w:rPr>
          <w:b/>
        </w:rPr>
        <w:t>Layer 4: Compliance Calendar</w:t>
      </w:r>
      <w:r/>
    </w:p>
    <w:p>
      <w:pPr>
        <w:pStyle w:val="ListParagraph"/>
      </w:pPr>
      <w:r>
        <w:t>Annual report filing deadlines (state-by-state)</w:t>
      </w:r>
    </w:p>
    <w:p>
      <w:pPr>
        <w:pStyle w:val="ListParagraph"/>
      </w:pPr>
      <w:r>
        <w:t>Registered agent maintenance</w:t>
      </w:r>
    </w:p>
    <w:p>
      <w:pPr>
        <w:pStyle w:val="ListParagraph"/>
      </w:pPr>
      <w:r>
        <w:t>Business license renewals</w:t>
      </w:r>
    </w:p>
    <w:p>
      <w:pPr>
        <w:pStyle w:val="ListParagraph"/>
      </w:pPr>
      <w:r>
        <w:t>Sales tax permit renewals</w:t>
      </w:r>
    </w:p>
    <w:p>
      <w:pPr>
        <w:pStyle w:val="ListParagraph"/>
      </w:pPr>
      <w:r>
        <w:t>Professional license renewals</w:t>
      </w:r>
    </w:p>
    <w:p/>
    <w:p>
      <w:pPr>
        <w:pStyle w:val="Heading3"/>
      </w:pPr>
      <w:r>
        <w:t>1.2 The Governance Gap in Mid-Market Companies</w:t>
      </w:r>
    </w:p>
    <w:p/>
    <w:p>
      <w:r>
        <w:t>A 2024 survey of 1,200 mid-market businesses ($10M–$500M revenue) by the Association of Corporate Counsel revealed:</w:t>
      </w:r>
    </w:p>
    <w:p/>
    <w:p>
      <w:pPr>
        <w:pStyle w:val="ListParagraph"/>
      </w:pPr>
      <w:r/>
      <w:r>
        <w:rPr>
          <w:b/>
        </w:rPr>
        <w:t>58%</w:t>
      </w:r>
      <w:r>
        <w:t xml:space="preserve"> lack current, signed operating agreements or bylaws</w:t>
      </w:r>
    </w:p>
    <w:p>
      <w:pPr>
        <w:pStyle w:val="ListParagraph"/>
      </w:pPr>
      <w:r/>
      <w:r>
        <w:rPr>
          <w:b/>
        </w:rPr>
        <w:t>71%</w:t>
      </w:r>
      <w:r>
        <w:t xml:space="preserve"> have not updated their cap table in over 12 months</w:t>
      </w:r>
    </w:p>
    <w:p>
      <w:pPr>
        <w:pStyle w:val="ListParagraph"/>
      </w:pPr>
      <w:r/>
      <w:r>
        <w:rPr>
          <w:b/>
        </w:rPr>
        <w:t>44%</w:t>
      </w:r>
      <w:r>
        <w:t xml:space="preserve"> have never held a formal board meeting with documented minutes</w:t>
      </w:r>
    </w:p>
    <w:p>
      <w:pPr>
        <w:pStyle w:val="ListParagraph"/>
      </w:pPr>
      <w:r/>
      <w:r>
        <w:rPr>
          <w:b/>
        </w:rPr>
        <w:t>67%</w:t>
      </w:r>
      <w:r>
        <w:t xml:space="preserve"> lack a conflict of interest policy</w:t>
      </w:r>
    </w:p>
    <w:p>
      <w:pPr>
        <w:pStyle w:val="ListParagraph"/>
      </w:pPr>
      <w:r/>
      <w:r>
        <w:rPr>
          <w:b/>
        </w:rPr>
        <w:t>52%</w:t>
      </w:r>
      <w:r>
        <w:t xml:space="preserve"> have no documented succession plan for key executives</w:t>
      </w:r>
    </w:p>
    <w:p/>
    <w:p>
      <w:r>
        <w:t>These gaps create catastrophic risk exposure during M&amp;A due diligence, financing rounds, and litigation.</w:t>
      </w:r>
    </w:p>
    <w:p/>
    <w:p>
      <w:r>
        <w:t>---</w:t>
      </w:r>
    </w:p>
    <w:p/>
    <w:p>
      <w:pPr>
        <w:pStyle w:val="Heading2"/>
      </w:pPr>
      <w:r>
        <w:t>Section 2: Employment Law Compliance Architecture</w:t>
      </w:r>
    </w:p>
    <w:p/>
    <w:p>
      <w:pPr>
        <w:pStyle w:val="Heading3"/>
      </w:pPr>
      <w:r>
        <w:t>2.1 Federal Employment Law Requirements</w:t>
      </w:r>
    </w:p>
    <w:p/>
    <w:p>
      <w:r>
        <w:t>U.S. employers must navigate an expanding web of federal employment regulations:</w:t>
      </w:r>
    </w:p>
    <w:p/>
    <w:p>
      <w:r/>
      <w:r>
        <w:rPr>
          <w:b/>
        </w:rPr>
        <w:t>Core Federal Statutes:</w:t>
      </w:r>
      <w:r/>
    </w:p>
    <w:p>
      <w:pPr>
        <w:pStyle w:val="ListParagraph"/>
      </w:pPr>
      <w:r>
        <w:t>Title VII (Civil Rights Act) — anti-discrimination</w:t>
      </w:r>
    </w:p>
    <w:p>
      <w:pPr>
        <w:pStyle w:val="ListParagraph"/>
      </w:pPr>
      <w:r>
        <w:t>Americans with Disabilities Act (ADA) — accommodation requirements</w:t>
      </w:r>
    </w:p>
    <w:p>
      <w:pPr>
        <w:pStyle w:val="ListParagraph"/>
      </w:pPr>
      <w:r>
        <w:t>Age Discrimination in Employment Act (ADEA) — 40+ protected class</w:t>
      </w:r>
    </w:p>
    <w:p>
      <w:pPr>
        <w:pStyle w:val="ListParagraph"/>
      </w:pPr>
      <w:r>
        <w:t>Fair Labor Standards Act (FLSA) — wage and hour compliance</w:t>
      </w:r>
    </w:p>
    <w:p>
      <w:pPr>
        <w:pStyle w:val="ListParagraph"/>
      </w:pPr>
      <w:r>
        <w:t>Family and Medical Leave Act (FMLA) — leave entitlements</w:t>
      </w:r>
    </w:p>
    <w:p>
      <w:pPr>
        <w:pStyle w:val="ListParagraph"/>
      </w:pPr>
      <w:r>
        <w:t>National Labor Relations Act (NLRA) — collective bargaining rights</w:t>
      </w:r>
    </w:p>
    <w:p>
      <w:pPr>
        <w:pStyle w:val="ListParagraph"/>
      </w:pPr>
      <w:r>
        <w:t>WARN Act — mass layoff notification requirements</w:t>
      </w:r>
    </w:p>
    <w:p>
      <w:pPr>
        <w:pStyle w:val="ListParagraph"/>
      </w:pPr>
      <w:r>
        <w:t>Equal Pay Act — gender pay equity</w:t>
      </w:r>
    </w:p>
    <w:p>
      <w:pPr>
        <w:pStyle w:val="ListParagraph"/>
      </w:pPr>
      <w:r>
        <w:t>Uniformed Services Employment Act (USERRA) — military leave</w:t>
      </w:r>
    </w:p>
    <w:p/>
    <w:p>
      <w:pPr>
        <w:pStyle w:val="Heading3"/>
      </w:pPr>
      <w:r>
        <w:t>2.2 Required Employment Policies</w:t>
      </w:r>
    </w:p>
    <w:p/>
    <w:p>
      <w:r>
        <w:t>LexBridge recommends every employer maintain a comprehensive Employee Handbook containing:</w:t>
      </w:r>
    </w:p>
    <w:p/>
    <w:p>
      <w:r/>
      <w:r>
        <w:rPr>
          <w:b/>
        </w:rPr>
        <w:t>Anti-Harassment &amp; Discrimination:</w:t>
      </w:r>
      <w:r/>
    </w:p>
    <w:p>
      <w:pPr>
        <w:pStyle w:val="ListParagraph"/>
      </w:pPr>
      <w:r>
        <w:t>Zero-tolerance harassment policy</w:t>
      </w:r>
    </w:p>
    <w:p>
      <w:pPr>
        <w:pStyle w:val="ListParagraph"/>
      </w:pPr>
      <w:r>
        <w:t>Complaint and investigation procedures</w:t>
      </w:r>
    </w:p>
    <w:p>
      <w:pPr>
        <w:pStyle w:val="ListParagraph"/>
      </w:pPr>
      <w:r>
        <w:t>Non-retaliation policy</w:t>
      </w:r>
    </w:p>
    <w:p>
      <w:pPr>
        <w:pStyle w:val="ListParagraph"/>
      </w:pPr>
      <w:r>
        <w:t>Equal employment opportunity statement</w:t>
      </w:r>
    </w:p>
    <w:p/>
    <w:p>
      <w:r/>
      <w:r>
        <w:rPr>
          <w:b/>
        </w:rPr>
        <w:t>Wage &amp; Hour Compliance:</w:t>
      </w:r>
      <w:r/>
    </w:p>
    <w:p>
      <w:pPr>
        <w:pStyle w:val="ListParagraph"/>
      </w:pPr>
      <w:r>
        <w:t>Exempt vs. non-exempt classification criteria</w:t>
      </w:r>
    </w:p>
    <w:p>
      <w:pPr>
        <w:pStyle w:val="ListParagraph"/>
      </w:pPr>
      <w:r>
        <w:t>Overtime authorization procedures</w:t>
      </w:r>
    </w:p>
    <w:p>
      <w:pPr>
        <w:pStyle w:val="ListParagraph"/>
      </w:pPr>
      <w:r>
        <w:t>Meal and rest break policies (state-specific)</w:t>
      </w:r>
    </w:p>
    <w:p>
      <w:pPr>
        <w:pStyle w:val="ListParagraph"/>
      </w:pPr>
      <w:r>
        <w:t>Time recording requirements</w:t>
      </w:r>
    </w:p>
    <w:p>
      <w:pPr>
        <w:pStyle w:val="ListParagraph"/>
      </w:pPr>
      <w:r>
        <w:t>Remote work expense reimbursement policy (CA, IL, MA requirements)</w:t>
      </w:r>
    </w:p>
    <w:p/>
    <w:p>
      <w:r/>
      <w:r>
        <w:rPr>
          <w:b/>
        </w:rPr>
        <w:t>Leave Policies:</w:t>
      </w:r>
      <w:r/>
    </w:p>
    <w:p>
      <w:pPr>
        <w:pStyle w:val="ListParagraph"/>
      </w:pPr>
      <w:r>
        <w:t>FMLA administration procedures</w:t>
      </w:r>
    </w:p>
    <w:p>
      <w:pPr>
        <w:pStyle w:val="ListParagraph"/>
      </w:pPr>
      <w:r>
        <w:t>State-specific leave laws (CA CFRA, NY PFL, WA PFML, etc.)</w:t>
      </w:r>
    </w:p>
    <w:p>
      <w:pPr>
        <w:pStyle w:val="ListParagraph"/>
      </w:pPr>
      <w:r>
        <w:t>ADA accommodation request process</w:t>
      </w:r>
    </w:p>
    <w:p>
      <w:pPr>
        <w:pStyle w:val="ListParagraph"/>
      </w:pPr>
      <w:r>
        <w:t>Military leave policy</w:t>
      </w:r>
    </w:p>
    <w:p>
      <w:pPr>
        <w:pStyle w:val="ListParagraph"/>
      </w:pPr>
      <w:r>
        <w:t>Bereavement and jury duty leave</w:t>
      </w:r>
    </w:p>
    <w:p/>
    <w:p>
      <w:r/>
      <w:r>
        <w:rPr>
          <w:b/>
        </w:rPr>
        <w:t>Termination Procedures:</w:t>
      </w:r>
      <w:r/>
    </w:p>
    <w:p>
      <w:pPr>
        <w:pStyle w:val="ListParagraph"/>
      </w:pPr>
      <w:r>
        <w:t>Progressive discipline framework</w:t>
      </w:r>
    </w:p>
    <w:p>
      <w:pPr>
        <w:pStyle w:val="ListParagraph"/>
      </w:pPr>
      <w:r>
        <w:t>Termination documentation checklist</w:t>
      </w:r>
    </w:p>
    <w:p>
      <w:pPr>
        <w:pStyle w:val="ListParagraph"/>
      </w:pPr>
      <w:r>
        <w:t>Final pay requirements by state</w:t>
      </w:r>
    </w:p>
    <w:p>
      <w:pPr>
        <w:pStyle w:val="ListParagraph"/>
      </w:pPr>
      <w:r>
        <w:t>COBRA notification obligations</w:t>
      </w:r>
    </w:p>
    <w:p>
      <w:pPr>
        <w:pStyle w:val="ListParagraph"/>
      </w:pPr>
      <w:r>
        <w:t>Non-compete enforceability review</w:t>
      </w:r>
    </w:p>
    <w:p/>
    <w:p>
      <w:pPr>
        <w:pStyle w:val="Heading3"/>
      </w:pPr>
      <w:r>
        <w:t>2.3 I-9 Employment Eligibility Verification</w:t>
      </w:r>
    </w:p>
    <w:p/>
    <w:p>
      <w:r>
        <w:t>All U.S. employers must complete Form I-9 for every employee hired after November 6, 1986:</w:t>
      </w:r>
    </w:p>
    <w:p/>
    <w:p>
      <w:r/>
      <w:r>
        <w:rPr>
          <w:b/>
        </w:rPr>
        <w:t>Critical I-9 Compliance Points:</w:t>
      </w:r>
      <w:r/>
    </w:p>
    <w:p>
      <w:pPr>
        <w:pStyle w:val="ListParagraph"/>
      </w:pPr>
      <w:r>
        <w:t>Must be completed within 3 business days of hire</w:t>
      </w:r>
    </w:p>
    <w:p>
      <w:pPr>
        <w:pStyle w:val="ListParagraph"/>
      </w:pPr>
      <w:r>
        <w:t>Remote/virtual completion now permanently available (post-2023 DHS rule)</w:t>
      </w:r>
    </w:p>
    <w:p>
      <w:pPr>
        <w:pStyle w:val="ListParagraph"/>
      </w:pPr>
      <w:r>
        <w:t>Document retention: 3 years from hire OR 1 year after termination (whichever is later)</w:t>
      </w:r>
    </w:p>
    <w:p>
      <w:pPr>
        <w:pStyle w:val="ListParagraph"/>
      </w:pPr>
      <w:r>
        <w:t>Civil penalties: $272–$2,701 per violation (first offense)</w:t>
      </w:r>
    </w:p>
    <w:p>
      <w:pPr>
        <w:pStyle w:val="ListParagraph"/>
      </w:pPr>
      <w:r>
        <w:t>ICE audit preparation requires organized I-9 binder with index</w:t>
      </w:r>
    </w:p>
    <w:p/>
    <w:p>
      <w:r>
        <w:t>---</w:t>
      </w:r>
    </w:p>
    <w:p/>
    <w:p>
      <w:pPr>
        <w:pStyle w:val="Heading2"/>
      </w:pPr>
      <w:r>
        <w:t>Section 3: Contract Management Infrastructure</w:t>
      </w:r>
    </w:p>
    <w:p/>
    <w:p>
      <w:pPr>
        <w:pStyle w:val="Heading3"/>
      </w:pPr>
      <w:r>
        <w:t>3.1 Contract Hierarchy Framework</w:t>
      </w:r>
    </w:p>
    <w:p/>
    <w:p>
      <w:r>
        <w:t>LexBridge organizes client contract portfolios into a four-tier hierarchy:</w:t>
      </w:r>
    </w:p>
    <w:p/>
    <w:p>
      <w:r/>
      <w:r>
        <w:rPr>
          <w:b/>
        </w:rPr>
        <w:t>Tier 1: Master Agreements</w:t>
      </w:r>
      <w:r/>
    </w:p>
    <w:p>
      <w:pPr>
        <w:pStyle w:val="ListParagraph"/>
      </w:pPr>
      <w:r>
        <w:t>Master Services Agreement (MSA)</w:t>
      </w:r>
    </w:p>
    <w:p>
      <w:pPr>
        <w:pStyle w:val="ListParagraph"/>
      </w:pPr>
      <w:r>
        <w:t>Master Purchase Agreement</w:t>
      </w:r>
    </w:p>
    <w:p>
      <w:pPr>
        <w:pStyle w:val="ListParagraph"/>
      </w:pPr>
      <w:r>
        <w:t>Non-Disclosure Agreement (NDA) — mutual and one-way versions</w:t>
      </w:r>
    </w:p>
    <w:p>
      <w:pPr>
        <w:pStyle w:val="ListParagraph"/>
      </w:pPr>
      <w:r>
        <w:t>Master Subscription Agreement (SaaS clients)</w:t>
      </w:r>
    </w:p>
    <w:p/>
    <w:p>
      <w:r/>
      <w:r>
        <w:rPr>
          <w:b/>
        </w:rPr>
        <w:t>Tier 2: Transaction Documents</w:t>
      </w:r>
      <w:r/>
    </w:p>
    <w:p>
      <w:pPr>
        <w:pStyle w:val="ListParagraph"/>
      </w:pPr>
      <w:r>
        <w:t>Statement of Work (SOW)</w:t>
      </w:r>
    </w:p>
    <w:p>
      <w:pPr>
        <w:pStyle w:val="ListParagraph"/>
      </w:pPr>
      <w:r>
        <w:t>Purchase Orders</w:t>
      </w:r>
    </w:p>
    <w:p>
      <w:pPr>
        <w:pStyle w:val="ListParagraph"/>
      </w:pPr>
      <w:r>
        <w:t>Change Orders</w:t>
      </w:r>
    </w:p>
    <w:p>
      <w:pPr>
        <w:pStyle w:val="ListParagraph"/>
      </w:pPr>
      <w:r>
        <w:t>Task Orders</w:t>
      </w:r>
    </w:p>
    <w:p/>
    <w:p>
      <w:r/>
      <w:r>
        <w:rPr>
          <w:b/>
        </w:rPr>
        <w:t>Tier 3: Relationship Agreements</w:t>
      </w:r>
      <w:r/>
    </w:p>
    <w:p>
      <w:pPr>
        <w:pStyle w:val="ListParagraph"/>
      </w:pPr>
      <w:r>
        <w:t>Vendor/Supplier Agreements</w:t>
      </w:r>
    </w:p>
    <w:p>
      <w:pPr>
        <w:pStyle w:val="ListParagraph"/>
      </w:pPr>
      <w:r>
        <w:t>Subcontractor Agreements</w:t>
      </w:r>
    </w:p>
    <w:p>
      <w:pPr>
        <w:pStyle w:val="ListParagraph"/>
      </w:pPr>
      <w:r>
        <w:t>Reseller/Channel Partner Agreements</w:t>
      </w:r>
    </w:p>
    <w:p>
      <w:pPr>
        <w:pStyle w:val="ListParagraph"/>
      </w:pPr>
      <w:r>
        <w:t>Joint Venture Agreements</w:t>
      </w:r>
    </w:p>
    <w:p/>
    <w:p>
      <w:r/>
      <w:r>
        <w:rPr>
          <w:b/>
        </w:rPr>
        <w:t>Tier 4: Governance Documents</w:t>
      </w:r>
      <w:r/>
    </w:p>
    <w:p>
      <w:pPr>
        <w:pStyle w:val="ListParagraph"/>
      </w:pPr>
      <w:r>
        <w:t>Board Resolutions authorizing contracts</w:t>
      </w:r>
    </w:p>
    <w:p>
      <w:pPr>
        <w:pStyle w:val="ListParagraph"/>
      </w:pPr>
      <w:r>
        <w:t>Signature authority matrix</w:t>
      </w:r>
    </w:p>
    <w:p>
      <w:pPr>
        <w:pStyle w:val="ListParagraph"/>
      </w:pPr>
      <w:r>
        <w:t>Contract approval workflow documentation</w:t>
      </w:r>
    </w:p>
    <w:p/>
    <w:p>
      <w:pPr>
        <w:pStyle w:val="Heading3"/>
      </w:pPr>
      <w:r>
        <w:t>3.2 Key Contract Provisions to Standardize</w:t>
      </w:r>
    </w:p>
    <w:p/>
    <w:p>
      <w:r>
        <w:t>LexBridge's contract audit protocol reviews and standardizes the following high-risk provisions:</w:t>
      </w:r>
    </w:p>
    <w:p/>
    <w:p>
      <w:r/>
      <w:r>
        <w:rPr>
          <w:b/>
        </w:rPr>
        <w:t>Limitation of Liability:</w:t>
      </w:r>
      <w:r/>
    </w:p>
    <w:p>
      <w:pPr>
        <w:pStyle w:val="ListParagraph"/>
      </w:pPr>
      <w:r>
        <w:t>Cap at total contract value (standard)</w:t>
      </w:r>
    </w:p>
    <w:p>
      <w:pPr>
        <w:pStyle w:val="ListParagraph"/>
      </w:pPr>
      <w:r>
        <w:t>Exclusions for gross negligence, willful misconduct, IP infringement, confidentiality breach</w:t>
      </w:r>
    </w:p>
    <w:p>
      <w:pPr>
        <w:pStyle w:val="ListParagraph"/>
      </w:pPr>
      <w:r>
        <w:t>Mutual vs. asymmetric caps</w:t>
      </w:r>
    </w:p>
    <w:p/>
    <w:p>
      <w:r/>
      <w:r>
        <w:rPr>
          <w:b/>
        </w:rPr>
        <w:t>Indemnification:</w:t>
      </w:r>
      <w:r/>
    </w:p>
    <w:p>
      <w:pPr>
        <w:pStyle w:val="ListParagraph"/>
      </w:pPr>
      <w:r>
        <w:t>Scope of indemnified claims</w:t>
      </w:r>
    </w:p>
    <w:p>
      <w:pPr>
        <w:pStyle w:val="ListParagraph"/>
      </w:pPr>
      <w:r>
        <w:t>Third-party claim procedures</w:t>
      </w:r>
    </w:p>
    <w:p>
      <w:pPr>
        <w:pStyle w:val="ListParagraph"/>
      </w:pPr>
      <w:r>
        <w:t>IP infringement indemnification (critical for SaaS)</w:t>
      </w:r>
    </w:p>
    <w:p/>
    <w:p>
      <w:r/>
      <w:r>
        <w:rPr>
          <w:b/>
        </w:rPr>
        <w:t>Intellectual Property:</w:t>
      </w:r>
      <w:r/>
    </w:p>
    <w:p>
      <w:pPr>
        <w:pStyle w:val="ListParagraph"/>
      </w:pPr>
      <w:r>
        <w:t>Work-for-hire vs. license structure</w:t>
      </w:r>
    </w:p>
    <w:p>
      <w:pPr>
        <w:pStyle w:val="ListParagraph"/>
      </w:pPr>
      <w:r>
        <w:t>Background IP ownership</w:t>
      </w:r>
    </w:p>
    <w:p>
      <w:pPr>
        <w:pStyle w:val="ListParagraph"/>
      </w:pPr>
      <w:r>
        <w:t>Foreground IP ownership</w:t>
      </w:r>
    </w:p>
    <w:p>
      <w:pPr>
        <w:pStyle w:val="ListParagraph"/>
      </w:pPr>
      <w:r>
        <w:t>License grants and restrictions</w:t>
      </w:r>
    </w:p>
    <w:p/>
    <w:p>
      <w:r/>
      <w:r>
        <w:rPr>
          <w:b/>
        </w:rPr>
        <w:t>Termination:</w:t>
      </w:r>
      <w:r/>
    </w:p>
    <w:p>
      <w:pPr>
        <w:pStyle w:val="ListParagraph"/>
      </w:pPr>
      <w:r>
        <w:t>Termination for convenience notice periods</w:t>
      </w:r>
    </w:p>
    <w:p>
      <w:pPr>
        <w:pStyle w:val="ListParagraph"/>
      </w:pPr>
      <w:r>
        <w:t>Termination for cause cure periods</w:t>
      </w:r>
    </w:p>
    <w:p>
      <w:pPr>
        <w:pStyle w:val="ListParagraph"/>
      </w:pPr>
      <w:r>
        <w:t>Effect of termination on licenses and data</w:t>
      </w:r>
    </w:p>
    <w:p>
      <w:pPr>
        <w:pStyle w:val="ListParagraph"/>
      </w:pPr>
      <w:r>
        <w:t>Survival provisions</w:t>
      </w:r>
    </w:p>
    <w:p/>
    <w:p>
      <w:pPr>
        <w:pStyle w:val="Heading3"/>
      </w:pPr>
      <w:r>
        <w:t>3.3 Contract Lifecycle Management</w:t>
      </w:r>
    </w:p>
    <w:p/>
    <w:p>
      <w:r>
        <w:t>Best-in-class contract management requires:</w:t>
      </w:r>
    </w:p>
    <w:p/>
    <w:p>
      <w:pPr>
        <w:pStyle w:val="ListParagraph"/>
      </w:pPr>
      <w:r/>
      <w:r>
        <w:rPr>
          <w:b/>
        </w:rPr>
        <w:t>Repository</w:t>
      </w:r>
      <w:r>
        <w:t>: Centralized contract storage with search capability</w:t>
      </w:r>
    </w:p>
    <w:p>
      <w:pPr>
        <w:pStyle w:val="ListParagraph"/>
      </w:pPr>
      <w:r/>
      <w:r>
        <w:rPr>
          <w:b/>
        </w:rPr>
        <w:t>Alerts</w:t>
      </w:r>
      <w:r>
        <w:t>: Automated renewal and expiration notifications</w:t>
      </w:r>
    </w:p>
    <w:p>
      <w:pPr>
        <w:pStyle w:val="ListParagraph"/>
      </w:pPr>
      <w:r/>
      <w:r>
        <w:rPr>
          <w:b/>
        </w:rPr>
        <w:t>Templates</w:t>
      </w:r>
      <w:r>
        <w:t>: Pre-approved language libraries reducing negotiation time</w:t>
      </w:r>
    </w:p>
    <w:p>
      <w:pPr>
        <w:pStyle w:val="ListParagraph"/>
      </w:pPr>
      <w:r/>
      <w:r>
        <w:rPr>
          <w:b/>
        </w:rPr>
        <w:t>Playbook</w:t>
      </w:r>
      <w:r>
        <w:t>: Approved fallback positions for standard provisions</w:t>
      </w:r>
    </w:p>
    <w:p>
      <w:pPr>
        <w:pStyle w:val="ListParagraph"/>
      </w:pPr>
      <w:r/>
      <w:r>
        <w:rPr>
          <w:b/>
        </w:rPr>
        <w:t>Metrics</w:t>
      </w:r>
      <w:r>
        <w:t>: Average contract cycle time, redline frequency, value tracking</w:t>
      </w:r>
    </w:p>
    <w:p/>
    <w:p>
      <w:r>
        <w:t>---</w:t>
      </w:r>
    </w:p>
    <w:p/>
    <w:p>
      <w:pPr>
        <w:pStyle w:val="Heading2"/>
      </w:pPr>
      <w:r>
        <w:t>Section 4: Data Privacy Compliance</w:t>
      </w:r>
    </w:p>
    <w:p/>
    <w:p>
      <w:pPr>
        <w:pStyle w:val="Heading3"/>
      </w:pPr>
      <w:r>
        <w:t>4.1 U.S. Privacy Law Landscape</w:t>
      </w:r>
    </w:p>
    <w:p/>
    <w:p>
      <w:r>
        <w:t>The U.S. data privacy regulatory environment has fragmented significantly since California's CCPA took effect in 2020:</w:t>
      </w:r>
    </w:p>
    <w:p/>
    <w:p>
      <w:r>
        <w:t>| State | Law | Effective Date | Key Threshold |</w:t>
      </w:r>
    </w:p>
    <w:p>
      <w:r>
        <w:t>|---|---|---|---|</w:t>
      </w:r>
    </w:p>
    <w:p>
      <w:r>
        <w:t>| California | CCPA/CPRA | Jan 1, 2020/2023 | $25M revenue OR 100K consumers |</w:t>
      </w:r>
    </w:p>
    <w:p>
      <w:r>
        <w:t>| Virginia | VCDPA | Jan 1, 2023 | 100K consumers |</w:t>
      </w:r>
    </w:p>
    <w:p>
      <w:r>
        <w:t>| Colorado | CPA | Jul 1, 2023 | 100K consumers |</w:t>
      </w:r>
    </w:p>
    <w:p>
      <w:r>
        <w:t>| Connecticut | CTDPA | Jul 1, 2023 | 100K consumers |</w:t>
      </w:r>
    </w:p>
    <w:p>
      <w:r>
        <w:t>| Texas | TDPSA | Jul 1, 2024 | Any processor |</w:t>
      </w:r>
    </w:p>
    <w:p>
      <w:r>
        <w:t>| Florida | FDBR | Jul 1, 2024 | $1B revenue |</w:t>
      </w:r>
    </w:p>
    <w:p>
      <w:r>
        <w:t>| Oregon | OCPA | Jul 1, 2024 | 100K consumers |</w:t>
      </w:r>
    </w:p>
    <w:p/>
    <w:p>
      <w:pPr>
        <w:pStyle w:val="Heading3"/>
      </w:pPr>
      <w:r>
        <w:t>4.2 Core Privacy Compliance Requirements</w:t>
      </w:r>
    </w:p>
    <w:p/>
    <w:p>
      <w:r>
        <w:t>Regardless of which state laws apply, LexBridge recommends implementing a universal privacy compliance framework:</w:t>
      </w:r>
    </w:p>
    <w:p/>
    <w:p>
      <w:r/>
      <w:r>
        <w:rPr>
          <w:b/>
        </w:rPr>
        <w:t>Privacy Notice Requirements:</w:t>
      </w:r>
      <w:r/>
    </w:p>
    <w:p>
      <w:pPr>
        <w:pStyle w:val="ListParagraph"/>
      </w:pPr>
      <w:r>
        <w:t>Categories of personal data collected</w:t>
      </w:r>
    </w:p>
    <w:p>
      <w:pPr>
        <w:pStyle w:val="ListParagraph"/>
      </w:pPr>
      <w:r>
        <w:t>Purposes of processing</w:t>
      </w:r>
    </w:p>
    <w:p>
      <w:pPr>
        <w:pStyle w:val="ListParagraph"/>
      </w:pPr>
      <w:r>
        <w:t>Third-party sharing disclosures</w:t>
      </w:r>
    </w:p>
    <w:p>
      <w:pPr>
        <w:pStyle w:val="ListParagraph"/>
      </w:pPr>
      <w:r>
        <w:t>Consumer rights and exercise mechanisms</w:t>
      </w:r>
    </w:p>
    <w:p>
      <w:pPr>
        <w:pStyle w:val="ListParagraph"/>
      </w:pPr>
      <w:r>
        <w:t>Retention periods</w:t>
      </w:r>
    </w:p>
    <w:p>
      <w:pPr>
        <w:pStyle w:val="ListParagraph"/>
      </w:pPr>
      <w:r>
        <w:t>Contact information for privacy inquiries</w:t>
      </w:r>
    </w:p>
    <w:p/>
    <w:p>
      <w:r/>
      <w:r>
        <w:rPr>
          <w:b/>
        </w:rPr>
        <w:t>Consumer Rights Implementation:</w:t>
      </w:r>
      <w:r/>
    </w:p>
    <w:p>
      <w:pPr>
        <w:pStyle w:val="ListParagraph"/>
      </w:pPr>
      <w:r>
        <w:t>Right to know/access</w:t>
      </w:r>
    </w:p>
    <w:p>
      <w:pPr>
        <w:pStyle w:val="ListParagraph"/>
      </w:pPr>
      <w:r>
        <w:t>Right to deletion</w:t>
      </w:r>
    </w:p>
    <w:p>
      <w:pPr>
        <w:pStyle w:val="ListParagraph"/>
      </w:pPr>
      <w:r>
        <w:t>Right to correction</w:t>
      </w:r>
    </w:p>
    <w:p>
      <w:pPr>
        <w:pStyle w:val="ListParagraph"/>
      </w:pPr>
      <w:r>
        <w:t>Right to opt-out of sale/sharing</w:t>
      </w:r>
    </w:p>
    <w:p>
      <w:pPr>
        <w:pStyle w:val="ListParagraph"/>
      </w:pPr>
      <w:r>
        <w:t>Right to non-discrimination</w:t>
      </w:r>
    </w:p>
    <w:p>
      <w:pPr>
        <w:pStyle w:val="ListParagraph"/>
      </w:pPr>
      <w:r>
        <w:t>Right to data portability (CPRA)</w:t>
      </w:r>
    </w:p>
    <w:p/>
    <w:p>
      <w:r/>
      <w:r>
        <w:rPr>
          <w:b/>
        </w:rPr>
        <w:t>Operational Requirements:</w:t>
      </w:r>
      <w:r/>
    </w:p>
    <w:p>
      <w:pPr>
        <w:pStyle w:val="ListParagraph"/>
      </w:pPr>
      <w:r>
        <w:t>Data processing inventory/mapping</w:t>
      </w:r>
    </w:p>
    <w:p>
      <w:pPr>
        <w:pStyle w:val="ListParagraph"/>
      </w:pPr>
      <w:r>
        <w:t>Vendor data processing agreements (DPAs)</w:t>
      </w:r>
    </w:p>
    <w:p>
      <w:pPr>
        <w:pStyle w:val="ListParagraph"/>
      </w:pPr>
      <w:r>
        <w:t>Privacy impact assessments (PIAs)</w:t>
      </w:r>
    </w:p>
    <w:p>
      <w:pPr>
        <w:pStyle w:val="ListParagraph"/>
      </w:pPr>
      <w:r>
        <w:t>Employee privacy training</w:t>
      </w:r>
    </w:p>
    <w:p>
      <w:pPr>
        <w:pStyle w:val="ListParagraph"/>
      </w:pPr>
      <w:r>
        <w:t>Incident response plan</w:t>
      </w:r>
    </w:p>
    <w:p>
      <w:pPr>
        <w:pStyle w:val="ListParagraph"/>
      </w:pPr>
      <w:r>
        <w:t>Data breach notification procedures</w:t>
      </w:r>
    </w:p>
    <w:p/>
    <w:p>
      <w:pPr>
        <w:pStyle w:val="Heading3"/>
      </w:pPr>
      <w:r>
        <w:t>4.3 GDPR Compliance (International Operations)</w:t>
      </w:r>
    </w:p>
    <w:p/>
    <w:p>
      <w:r>
        <w:t>For businesses processing EU personal data:</w:t>
      </w:r>
    </w:p>
    <w:p>
      <w:pPr>
        <w:pStyle w:val="ListParagraph"/>
      </w:pPr>
      <w:r>
        <w:t>Legal basis for processing documentation</w:t>
      </w:r>
    </w:p>
    <w:p>
      <w:pPr>
        <w:pStyle w:val="ListParagraph"/>
      </w:pPr>
      <w:r>
        <w:t>Data subject rights procedures</w:t>
      </w:r>
    </w:p>
    <w:p>
      <w:pPr>
        <w:pStyle w:val="ListParagraph"/>
      </w:pPr>
      <w:r>
        <w:t>Data Protection Officer (DPO) determination</w:t>
      </w:r>
    </w:p>
    <w:p>
      <w:pPr>
        <w:pStyle w:val="ListParagraph"/>
      </w:pPr>
      <w:r>
        <w:t>Standard contractual clauses (SCCs) for international transfers</w:t>
      </w:r>
    </w:p>
    <w:p>
      <w:pPr>
        <w:pStyle w:val="ListParagraph"/>
      </w:pPr>
      <w:r>
        <w:t>Records of processing activities (ROPA)</w:t>
      </w:r>
    </w:p>
    <w:p/>
    <w:p>
      <w:r>
        <w:t>---</w:t>
      </w:r>
    </w:p>
    <w:p/>
    <w:p>
      <w:pPr>
        <w:pStyle w:val="Heading2"/>
      </w:pPr>
      <w:r>
        <w:t>Section 5: Intellectual Property Protection</w:t>
      </w:r>
    </w:p>
    <w:p/>
    <w:p>
      <w:pPr>
        <w:pStyle w:val="Heading3"/>
      </w:pPr>
      <w:r>
        <w:t>5.1 IP Asset Inventory</w:t>
      </w:r>
    </w:p>
    <w:p/>
    <w:p>
      <w:r>
        <w:t>LexBridge conducts comprehensive IP audits covering:</w:t>
      </w:r>
    </w:p>
    <w:p/>
    <w:p>
      <w:r/>
      <w:r>
        <w:rPr>
          <w:b/>
        </w:rPr>
        <w:t>Trademarks:</w:t>
      </w:r>
      <w:r/>
    </w:p>
    <w:p>
      <w:pPr>
        <w:pStyle w:val="ListParagraph"/>
      </w:pPr>
      <w:r>
        <w:t>Brand name availability search (USPTO TESS + state registrations)</w:t>
      </w:r>
    </w:p>
    <w:p>
      <w:pPr>
        <w:pStyle w:val="ListParagraph"/>
      </w:pPr>
      <w:r>
        <w:t>Federal trademark application strategy (use-based vs. intent-to-use)</w:t>
      </w:r>
    </w:p>
    <w:p>
      <w:pPr>
        <w:pStyle w:val="ListParagraph"/>
      </w:pPr>
      <w:r>
        <w:t>International registration via Madrid Protocol</w:t>
      </w:r>
    </w:p>
    <w:p>
      <w:pPr>
        <w:pStyle w:val="ListParagraph"/>
      </w:pPr>
      <w:r>
        <w:t>Watch services for infringement monitoring</w:t>
      </w:r>
    </w:p>
    <w:p>
      <w:pPr>
        <w:pStyle w:val="ListParagraph"/>
      </w:pPr>
      <w:r>
        <w:t>Renewal calendar (10-year terms, 5-year declarations of use)</w:t>
      </w:r>
    </w:p>
    <w:p/>
    <w:p>
      <w:r/>
      <w:r>
        <w:rPr>
          <w:b/>
        </w:rPr>
        <w:t>Copyrights:</w:t>
      </w:r>
      <w:r/>
    </w:p>
    <w:p>
      <w:pPr>
        <w:pStyle w:val="ListParagraph"/>
      </w:pPr>
      <w:r>
        <w:t>Work-for-hire documentation (independent contractor agreements)</w:t>
      </w:r>
    </w:p>
    <w:p>
      <w:pPr>
        <w:pStyle w:val="ListParagraph"/>
      </w:pPr>
      <w:r>
        <w:t>Copyright registration strategy (published vs. unpublished works)</w:t>
      </w:r>
    </w:p>
    <w:p>
      <w:pPr>
        <w:pStyle w:val="ListParagraph"/>
      </w:pPr>
      <w:r>
        <w:t>DMCA takedown procedures and agent registration</w:t>
      </w:r>
    </w:p>
    <w:p>
      <w:pPr>
        <w:pStyle w:val="ListParagraph"/>
      </w:pPr>
      <w:r>
        <w:t>Software code ownership documentation</w:t>
      </w:r>
    </w:p>
    <w:p/>
    <w:p>
      <w:r/>
      <w:r>
        <w:rPr>
          <w:b/>
        </w:rPr>
        <w:t>Trade Secrets:</w:t>
      </w:r>
      <w:r/>
    </w:p>
    <w:p>
      <w:pPr>
        <w:pStyle w:val="ListParagraph"/>
      </w:pPr>
      <w:r>
        <w:t>Trade secret identification and classification</w:t>
      </w:r>
    </w:p>
    <w:p>
      <w:pPr>
        <w:pStyle w:val="ListParagraph"/>
      </w:pPr>
      <w:r>
        <w:t>Access control and need-to-know protocols</w:t>
      </w:r>
    </w:p>
    <w:p>
      <w:pPr>
        <w:pStyle w:val="ListParagraph"/>
      </w:pPr>
      <w:r>
        <w:t>Non-disclosure agreement coverage mapping</w:t>
      </w:r>
    </w:p>
    <w:p>
      <w:pPr>
        <w:pStyle w:val="ListParagraph"/>
      </w:pPr>
      <w:r>
        <w:t>Employee departure protocols</w:t>
      </w:r>
    </w:p>
    <w:p/>
    <w:p>
      <w:r/>
      <w:r>
        <w:rPr>
          <w:b/>
        </w:rPr>
        <w:t>Patents:</w:t>
      </w:r>
      <w:r/>
    </w:p>
    <w:p>
      <w:pPr>
        <w:pStyle w:val="ListParagraph"/>
      </w:pPr>
      <w:r>
        <w:t>Invention disclosure process</w:t>
      </w:r>
    </w:p>
    <w:p>
      <w:pPr>
        <w:pStyle w:val="ListParagraph"/>
      </w:pPr>
      <w:r>
        <w:t>Provisional vs. non-provisional strategy</w:t>
      </w:r>
    </w:p>
    <w:p>
      <w:pPr>
        <w:pStyle w:val="ListParagraph"/>
      </w:pPr>
      <w:r>
        <w:t>Patent landscape searches</w:t>
      </w:r>
    </w:p>
    <w:p>
      <w:pPr>
        <w:pStyle w:val="ListParagraph"/>
      </w:pPr>
      <w:r>
        <w:t>IP assignment agreements (employee and contractor)</w:t>
      </w:r>
    </w:p>
    <w:p/>
    <w:p>
      <w:r>
        <w:t>---</w:t>
      </w:r>
    </w:p>
    <w:p/>
    <w:p>
      <w:pPr>
        <w:pStyle w:val="Heading2"/>
      </w:pPr>
      <w:r>
        <w:t>Section 6: LexBridge Service Packages</w:t>
      </w:r>
    </w:p>
    <w:p/>
    <w:p>
      <w:pPr>
        <w:pStyle w:val="Heading3"/>
      </w:pPr>
      <w:r>
        <w:t>6.1 Package Tiers</w:t>
      </w:r>
    </w:p>
    <w:p/>
    <w:p>
      <w:r/>
      <w:r>
        <w:rPr>
          <w:b/>
        </w:rPr>
        <w:t>Starter — $1,000</w:t>
      </w:r>
      <w:r/>
    </w:p>
    <w:p>
      <w:pPr>
        <w:pStyle w:val="ListParagraph"/>
      </w:pPr>
      <w:r>
        <w:t>Corporate governance documentation audit</w:t>
      </w:r>
    </w:p>
    <w:p>
      <w:pPr>
        <w:pStyle w:val="ListParagraph"/>
      </w:pPr>
      <w:r>
        <w:t>Employment handbook template</w:t>
      </w:r>
    </w:p>
    <w:p>
      <w:pPr>
        <w:pStyle w:val="ListParagraph"/>
      </w:pPr>
      <w:r>
        <w:t>NDA template (mutual and one-way)</w:t>
      </w:r>
    </w:p>
    <w:p>
      <w:pPr>
        <w:pStyle w:val="ListParagraph"/>
      </w:pPr>
      <w:r>
        <w:t>Basic contract review checklist</w:t>
      </w:r>
    </w:p>
    <w:p/>
    <w:p>
      <w:r/>
      <w:r>
        <w:rPr>
          <w:b/>
        </w:rPr>
        <w:t>Professional — $2,500</w:t>
      </w:r>
      <w:r/>
    </w:p>
    <w:p>
      <w:pPr>
        <w:pStyle w:val="ListParagraph"/>
      </w:pPr>
      <w:r>
        <w:t>Complete governance documentation package</w:t>
      </w:r>
    </w:p>
    <w:p>
      <w:pPr>
        <w:pStyle w:val="ListParagraph"/>
      </w:pPr>
      <w:r>
        <w:t>Full employment policy suite</w:t>
      </w:r>
    </w:p>
    <w:p>
      <w:pPr>
        <w:pStyle w:val="ListParagraph"/>
      </w:pPr>
      <w:r>
        <w:t>Master Services Agreement template</w:t>
      </w:r>
    </w:p>
    <w:p>
      <w:pPr>
        <w:pStyle w:val="ListParagraph"/>
      </w:pPr>
      <w:r>
        <w:t>Privacy policy and terms of service</w:t>
      </w:r>
    </w:p>
    <w:p>
      <w:pPr>
        <w:pStyle w:val="ListParagraph"/>
      </w:pPr>
      <w:r>
        <w:t>IP assignment agreement templates</w:t>
      </w:r>
    </w:p>
    <w:p>
      <w:pPr>
        <w:pStyle w:val="ListParagraph"/>
      </w:pPr>
      <w:r>
        <w:t>10-slide capabilities briefing deck</w:t>
      </w:r>
    </w:p>
    <w:p/>
    <w:p>
      <w:r/>
      <w:r>
        <w:rPr>
          <w:b/>
        </w:rPr>
        <w:t>Enterprise — $4,500</w:t>
      </w:r>
      <w:r/>
    </w:p>
    <w:p>
      <w:pPr>
        <w:pStyle w:val="ListParagraph"/>
      </w:pPr>
      <w:r>
        <w:t>Full professional package plus:</w:t>
      </w:r>
    </w:p>
    <w:p>
      <w:pPr>
        <w:pStyle w:val="ListParagraph"/>
      </w:pPr>
      <w:r>
        <w:t>Data privacy compliance framework (CCPA + multi-state)</w:t>
      </w:r>
    </w:p>
    <w:p>
      <w:pPr>
        <w:pStyle w:val="ListParagraph"/>
      </w:pPr>
      <w:r>
        <w:t>Contract lifecycle management setup</w:t>
      </w:r>
    </w:p>
    <w:p>
      <w:pPr>
        <w:pStyle w:val="ListParagraph"/>
      </w:pPr>
      <w:r>
        <w:t>IP asset inventory and protection strategy</w:t>
      </w:r>
    </w:p>
    <w:p>
      <w:pPr>
        <w:pStyle w:val="ListParagraph"/>
      </w:pPr>
      <w:r>
        <w:t>Narrated explainer video (60 seconds)</w:t>
      </w:r>
    </w:p>
    <w:p>
      <w:pPr>
        <w:pStyle w:val="ListParagraph"/>
      </w:pPr>
      <w:r>
        <w:t>Quarterly regulatory update reports</w:t>
      </w:r>
    </w:p>
    <w:p/>
    <w:p>
      <w:r/>
      <w:r>
        <w:rPr>
          <w:b/>
        </w:rPr>
        <w:t>Retainer — $1,500/month</w:t>
      </w:r>
      <w:r/>
    </w:p>
    <w:p>
      <w:pPr>
        <w:pStyle w:val="ListParagraph"/>
      </w:pPr>
      <w:r>
        <w:t>Monthly regulatory change monitoring</w:t>
      </w:r>
    </w:p>
    <w:p>
      <w:pPr>
        <w:pStyle w:val="ListParagraph"/>
      </w:pPr>
      <w:r>
        <w:t>Employment law update alerts</w:t>
      </w:r>
    </w:p>
    <w:p>
      <w:pPr>
        <w:pStyle w:val="ListParagraph"/>
      </w:pPr>
      <w:r>
        <w:t>On-demand document drafting support</w:t>
      </w:r>
    </w:p>
    <w:p>
      <w:pPr>
        <w:pStyle w:val="ListParagraph"/>
      </w:pPr>
      <w:r>
        <w:t>Priority 48-hour turnaround</w:t>
      </w:r>
    </w:p>
    <w:p/>
    <w:p>
      <w:r>
        <w:t>---</w:t>
      </w:r>
    </w:p>
    <w:p/>
    <w:p>
      <w:pPr>
        <w:pStyle w:val="Heading2"/>
      </w:pPr>
      <w:r>
        <w:t>Conclusion</w:t>
      </w:r>
    </w:p>
    <w:p/>
    <w:p>
      <w:r>
        <w:t>Legal compliance is not a luxury — it is the foundation upon which scalable businesses are built. The companies that invest in governance, employment law compliance, contract infrastructure, and data privacy today will close funding rounds faster, survive acquisition due diligence, and avoid the catastrophic costs of non-compliance tomorrow.</w:t>
      </w:r>
    </w:p>
    <w:p/>
    <w:p>
      <w:r>
        <w:t>LexBridge Legal Intelligence delivers enterprise-grade legal documentation infrastructure — built for growing businesses, priced for the mid-market.</w:t>
      </w:r>
    </w:p>
    <w:p/>
    <w:p>
      <w:r/>
      <w:r>
        <w:rPr>
          <w:b/>
        </w:rPr>
        <w:t>Contact LexBridge today for your complimentary legal compliance gap assessment.</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