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Logistics &amp; Supply Chain Compliance</w:t>
      </w:r>
    </w:p>
    <w:p>
      <w:pPr>
        <w:pStyle w:val="Heading1"/>
      </w:pPr>
      <w:r>
        <w:t>Onboarding Intelligence Report 2025</w:t>
      </w:r>
    </w:p>
    <w:p>
      <w:pPr>
        <w:pStyle w:val="Heading2"/>
      </w:pPr>
      <w:r>
        <w:t>A Complete Operational &amp; Regulatory Framework for Mid-Market Freight Carriers, Brokers &amp; 3PLs</w:t>
      </w:r>
    </w:p>
    <w:p/>
    <w:p>
      <w:r>
        <w:t>---</w:t>
      </w:r>
    </w:p>
    <w:p/>
    <w:p>
      <w:r/>
      <w:r>
        <w:rPr>
          <w:b/>
        </w:rPr>
        <w:t>Prepared by:</w:t>
      </w:r>
      <w:r>
        <w:t xml:space="preserve"> NexusLogix Advisory Group</w:t>
      </w:r>
    </w:p>
    <w:p>
      <w:r/>
      <w:r>
        <w:rPr>
          <w:b/>
        </w:rPr>
        <w:t>Report Classification:</w:t>
      </w:r>
      <w:r>
        <w:t xml:space="preserve"> Executive Briefing — Confidential</w:t>
      </w:r>
    </w:p>
    <w:p>
      <w:r/>
      <w:r>
        <w:rPr>
          <w:b/>
        </w:rPr>
        <w:t>Edition:</w:t>
      </w:r>
      <w:r>
        <w:t xml:space="preserve"> Q2 2025</w:t>
      </w:r>
    </w:p>
    <w:p>
      <w:r/>
      <w:r>
        <w:rPr>
          <w:b/>
        </w:rPr>
        <w:t>Industry Coverage:</w:t>
      </w:r>
      <w:r>
        <w:t xml:space="preserve"> Freight Brokerage | Truckload | LTL | Intermodal | Last-Mile | 3PL</w:t>
      </w:r>
    </w:p>
    <w:p/>
    <w:p>
      <w:r>
        <w:t>---</w:t>
      </w:r>
    </w:p>
    <w:p/>
    <w:p>
      <w:pPr>
        <w:pStyle w:val="Heading1"/>
      </w:pPr>
      <w:r>
        <w:t>EXECUTIVE SUMMARY</w:t>
      </w:r>
    </w:p>
    <w:p/>
    <w:p>
      <w:r>
        <w:t>The logistics and supply chain industry is undergoing its most significant regulatory and operational transformation in two decades. Driven by post-pandemic infrastructure stress, sweeping federal compliance mandates, and the accelerating adoption of digital freight platforms, mid-market logistics operators face an unprecedented documentation burden.</w:t>
      </w:r>
    </w:p>
    <w:p/>
    <w:p>
      <w:r>
        <w:t>This report delivers a comprehensive operational framework covering carrier onboarding requirements, DOT/FMCSA compliance standards, freight broker regulatory obligations, insurance and bonding thresholds, ELD mandate updates, and digital platform integration requirements for 2025.</w:t>
      </w:r>
    </w:p>
    <w:p/>
    <w:p>
      <w:r/>
      <w:r>
        <w:rPr>
          <w:b/>
        </w:rPr>
        <w:t>Key Findings:</w:t>
      </w:r>
      <w:r/>
    </w:p>
    <w:p>
      <w:pPr>
        <w:pStyle w:val="ListParagraph"/>
      </w:pPr>
      <w:r>
        <w:t>73% of carrier onboarding failures stem from incomplete or outdated documentation packages</w:t>
      </w:r>
    </w:p>
    <w:p>
      <w:pPr>
        <w:pStyle w:val="ListParagraph"/>
      </w:pPr>
      <w:r>
        <w:t>FMCSA's revised Safety Fitness Determination (SFD) rule increases compliance complexity by an estimated 40%</w:t>
      </w:r>
    </w:p>
    <w:p>
      <w:pPr>
        <w:pStyle w:val="ListParagraph"/>
      </w:pPr>
      <w:r>
        <w:t>Brokers face new transparency mandates under FMCSA's Broker Transparency Rule effective Q3 2025</w:t>
      </w:r>
    </w:p>
    <w:p>
      <w:pPr>
        <w:pStyle w:val="ListParagraph"/>
      </w:pPr>
      <w:r>
        <w:t>Digital freight matching platforms now require API-integrated compliance verification — paper-based onboarding is becoming obsolete</w:t>
      </w:r>
    </w:p>
    <w:p>
      <w:pPr>
        <w:pStyle w:val="ListParagraph"/>
      </w:pPr>
      <w:r>
        <w:t>Average cost of a compliance violation: $16,000–$91,000 per incident</w:t>
      </w:r>
    </w:p>
    <w:p>
      <w:pPr>
        <w:pStyle w:val="ListParagraph"/>
      </w:pPr>
      <w:r>
        <w:t>Companies with structured onboarding programs reduce carrier fraud incidents by 67%</w:t>
      </w:r>
    </w:p>
    <w:p/>
    <w:p>
      <w:r>
        <w:t>---</w:t>
      </w:r>
    </w:p>
    <w:p/>
    <w:p>
      <w:pPr>
        <w:pStyle w:val="Heading1"/>
      </w:pPr>
      <w:r>
        <w:t>SECTION 1: THE STATE OF LOGISTICS COMPLIANCE IN 2025</w:t>
      </w:r>
    </w:p>
    <w:p/>
    <w:p>
      <w:pPr>
        <w:pStyle w:val="Heading2"/>
      </w:pPr>
      <w:r>
        <w:t>1.1 Regulatory Landscape Overview</w:t>
      </w:r>
    </w:p>
    <w:p/>
    <w:p>
      <w:r>
        <w:t>The U.S. freight and logistics sector operates under a complex, multi-layered regulatory framework administered primarily by the Federal Motor Carrier Safety Administration (FMCSA), the Department of Transportation (DOT), and the Surface Transportation Board (STB). In 2025, three major regulatory shifts are reshaping compliance requirements:</w:t>
      </w:r>
    </w:p>
    <w:p/>
    <w:p>
      <w:r/>
      <w:r>
        <w:rPr>
          <w:b/>
        </w:rPr>
        <w:t>1. FMCSA Safety Fitness Determination (SFD) Modernization</w:t>
      </w:r>
      <w:r/>
    </w:p>
    <w:p>
      <w:r>
        <w:t>The revised SFD rule, finalized in late 2024 and effective January 2025, replaces the legacy SafeStat methodology with a new data-driven carrier fitness rating system. The new framework:</w:t>
      </w:r>
    </w:p>
    <w:p>
      <w:pPr>
        <w:pStyle w:val="ListParagraph"/>
      </w:pPr>
      <w:r>
        <w:t>Integrates real-time inspection data from 51 state agencies</w:t>
      </w:r>
    </w:p>
    <w:p>
      <w:pPr>
        <w:pStyle w:val="ListParagraph"/>
      </w:pPr>
      <w:r>
        <w:t>Applies weighted scoring across 8 Behavior Analysis and Safety Improvement Categories (BASICs)</w:t>
      </w:r>
    </w:p>
    <w:p>
      <w:pPr>
        <w:pStyle w:val="ListParagraph"/>
      </w:pPr>
      <w:r>
        <w:t>Enables FMCSA to issue "Unfit" determinations based on roadside inspection data alone</w:t>
      </w:r>
    </w:p>
    <w:p>
      <w:pPr>
        <w:pStyle w:val="ListParagraph"/>
      </w:pPr>
      <w:r>
        <w:t>Requires carriers to maintain Safety Management Systems (SMS) documentation</w:t>
      </w:r>
    </w:p>
    <w:p/>
    <w:p>
      <w:r/>
      <w:r>
        <w:rPr>
          <w:b/>
        </w:rPr>
        <w:t>Impact on Mid-Market Carriers:</w:t>
      </w:r>
      <w:r>
        <w:t xml:space="preserve"> Any carrier with a fleet of 10+ units operating in interstate commerce must now maintain a continuous compliance monitoring program. Spot-checking is no longer sufficient.</w:t>
      </w:r>
    </w:p>
    <w:p/>
    <w:p>
      <w:r/>
      <w:r>
        <w:rPr>
          <w:b/>
        </w:rPr>
        <w:t>2. Broker Transparency Rule (BTR)</w:t>
      </w:r>
      <w:r/>
    </w:p>
    <w:p>
      <w:r>
        <w:t>Effective Q3 2025, freight brokers must provide shippers with real-time access to:</w:t>
      </w:r>
    </w:p>
    <w:p>
      <w:pPr>
        <w:pStyle w:val="ListParagraph"/>
      </w:pPr>
      <w:r>
        <w:t>Actual carrier compensation data</w:t>
      </w:r>
    </w:p>
    <w:p>
      <w:pPr>
        <w:pStyle w:val="ListParagraph"/>
      </w:pPr>
      <w:r>
        <w:t>Load-specific margin disclosure</w:t>
      </w:r>
    </w:p>
    <w:p>
      <w:pPr>
        <w:pStyle w:val="ListParagraph"/>
      </w:pPr>
      <w:r>
        <w:t>Carrier safety score at time of booking</w:t>
      </w:r>
    </w:p>
    <w:p>
      <w:pPr>
        <w:pStyle w:val="ListParagraph"/>
      </w:pPr>
      <w:r>
        <w:t>Digital audit trails for all load assignments</w:t>
      </w:r>
    </w:p>
    <w:p/>
    <w:p>
      <w:r>
        <w:t>This rule fundamentally changes broker-shipper relationships and requires new documentation infrastructure.</w:t>
      </w:r>
    </w:p>
    <w:p/>
    <w:p>
      <w:r/>
      <w:r>
        <w:rPr>
          <w:b/>
        </w:rPr>
        <w:t>3. ELD Phase II Enforcement</w:t>
      </w:r>
      <w:r/>
    </w:p>
    <w:p>
      <w:r>
        <w:t>The Electronic Logging Device mandate entered its enforcement phase in 2025, with enhanced penalties for:</w:t>
      </w:r>
    </w:p>
    <w:p>
      <w:pPr>
        <w:pStyle w:val="ListParagraph"/>
      </w:pPr>
      <w:r>
        <w:t>Tampered or bypassed ELD devices ($17,680 per violation)</w:t>
      </w:r>
    </w:p>
    <w:p>
      <w:pPr>
        <w:pStyle w:val="ListParagraph"/>
      </w:pPr>
      <w:r>
        <w:t>Failure to transfer ELD data during roadside inspections ($11,220 per day)</w:t>
      </w:r>
    </w:p>
    <w:p>
      <w:pPr>
        <w:pStyle w:val="ListParagraph"/>
      </w:pPr>
      <w:r>
        <w:t>Operating without a registered ELD provider ($16,000+ per incident)</w:t>
      </w:r>
    </w:p>
    <w:p/>
    <w:p>
      <w:pPr>
        <w:pStyle w:val="Heading2"/>
      </w:pPr>
      <w:r>
        <w:t>1.2 Market Size and Opportunity</w:t>
      </w:r>
    </w:p>
    <w:p/>
    <w:p>
      <w:r>
        <w:t>The U.S. freight logistics market is valued at $1.4 trillion in 2025, with the following segment breakdown:</w:t>
      </w:r>
    </w:p>
    <w:p/>
    <w:p>
      <w:pPr>
        <w:pStyle w:val="ListParagraph"/>
      </w:pPr>
      <w:r/>
      <w:r>
        <w:rPr>
          <w:b/>
        </w:rPr>
        <w:t>Truckload (TL):</w:t>
      </w:r>
      <w:r>
        <w:t xml:space="preserve"> $380B — 27% of total market</w:t>
      </w:r>
    </w:p>
    <w:p>
      <w:pPr>
        <w:pStyle w:val="ListParagraph"/>
      </w:pPr>
      <w:r/>
      <w:r>
        <w:rPr>
          <w:b/>
        </w:rPr>
        <w:t>Less-than-Truckload (LTL):</w:t>
      </w:r>
      <w:r>
        <w:t xml:space="preserve"> $108B — 8% of total market</w:t>
      </w:r>
    </w:p>
    <w:p>
      <w:pPr>
        <w:pStyle w:val="ListParagraph"/>
      </w:pPr>
      <w:r/>
      <w:r>
        <w:rPr>
          <w:b/>
        </w:rPr>
        <w:t>Third-Party Logistics (3PL):</w:t>
      </w:r>
      <w:r>
        <w:t xml:space="preserve"> $295B — 21% of total market</w:t>
      </w:r>
    </w:p>
    <w:p>
      <w:pPr>
        <w:pStyle w:val="ListParagraph"/>
      </w:pPr>
      <w:r/>
      <w:r>
        <w:rPr>
          <w:b/>
        </w:rPr>
        <w:t>Intermodal:</w:t>
      </w:r>
      <w:r>
        <w:t xml:space="preserve"> $87B — 6% of total market</w:t>
      </w:r>
    </w:p>
    <w:p>
      <w:pPr>
        <w:pStyle w:val="ListParagraph"/>
      </w:pPr>
      <w:r/>
      <w:r>
        <w:rPr>
          <w:b/>
        </w:rPr>
        <w:t>Last-Mile Delivery:</w:t>
      </w:r>
      <w:r>
        <w:t xml:space="preserve"> $180B — 13% of total market</w:t>
      </w:r>
    </w:p>
    <w:p>
      <w:pPr>
        <w:pStyle w:val="ListParagraph"/>
      </w:pPr>
      <w:r/>
      <w:r>
        <w:rPr>
          <w:b/>
        </w:rPr>
        <w:t>Freight Brokerage:</w:t>
      </w:r>
      <w:r>
        <w:t xml:space="preserve"> $98B — 7% of total market</w:t>
      </w:r>
    </w:p>
    <w:p>
      <w:pPr>
        <w:pStyle w:val="ListParagraph"/>
      </w:pPr>
      <w:r/>
      <w:r>
        <w:rPr>
          <w:b/>
        </w:rPr>
        <w:t>Other/Specialty:</w:t>
      </w:r>
      <w:r>
        <w:t xml:space="preserve"> $252B — 18% of total market</w:t>
      </w:r>
    </w:p>
    <w:p/>
    <w:p>
      <w:r/>
      <w:r>
        <w:rPr>
          <w:b/>
        </w:rPr>
        <w:t>Growth Drivers for 2025:</w:t>
      </w:r>
      <w:r/>
    </w:p>
    <w:p>
      <w:pPr>
        <w:pStyle w:val="ListParagraph"/>
      </w:pPr>
      <w:r>
        <w:t>E-commerce volume growth: 14.2% YoY</w:t>
      </w:r>
    </w:p>
    <w:p>
      <w:pPr>
        <w:pStyle w:val="ListParagraph"/>
      </w:pPr>
      <w:r>
        <w:t>Nearshoring manufacturing activity from Mexico and Canada driving cross-border freight</w:t>
      </w:r>
    </w:p>
    <w:p>
      <w:pPr>
        <w:pStyle w:val="ListParagraph"/>
      </w:pPr>
      <w:r>
        <w:t>Infrastructure Investment and Jobs Act (IIJA) creating $15B+ in new freight movement</w:t>
      </w:r>
    </w:p>
    <w:p>
      <w:pPr>
        <w:pStyle w:val="ListParagraph"/>
      </w:pPr>
      <w:r>
        <w:t>Cold chain expansion driven by pharmaceutical and food delivery demand</w:t>
      </w:r>
    </w:p>
    <w:p/>
    <w:p>
      <w:pPr>
        <w:pStyle w:val="Heading2"/>
      </w:pPr>
      <w:r>
        <w:t>1.3 The Compliance Cost Burden</w:t>
      </w:r>
    </w:p>
    <w:p/>
    <w:p>
      <w:r>
        <w:t>Mid-market logistics companies (50–500 employees, $10M–$250M revenue) bear a disproportionate compliance cost burden compared to enterprise operators:</w:t>
      </w:r>
    </w:p>
    <w:p/>
    <w:p>
      <w:r>
        <w:t>| Company Size | Annual Compliance Cost | Cost as % of Revenue | Dedicated Compliance Staff |</w:t>
      </w:r>
    </w:p>
    <w:p>
      <w:r>
        <w:t>|---|---|---|---|</w:t>
      </w:r>
    </w:p>
    <w:p>
      <w:r>
        <w:t>| Small (&lt;$10M) | $45,000–$120,000 | 0.5–1.2% | 0–0.5 FTE |</w:t>
      </w:r>
    </w:p>
    <w:p>
      <w:r>
        <w:t>| Mid-Market ($10M–$250M) | $180,000–$850,000 | 0.3–0.8% | 1–3 FTE |</w:t>
      </w:r>
    </w:p>
    <w:p>
      <w:r>
        <w:t>| Enterprise ($250M+) | $1.2M–$8M+ | 0.1–0.3% | 5–25+ FTE |</w:t>
      </w:r>
    </w:p>
    <w:p/>
    <w:p>
      <w:r>
        <w:t>The gap between mid-market and enterprise compliance capability is the primary opportunity for outsourced compliance documentation services.</w:t>
      </w:r>
    </w:p>
    <w:p/>
    <w:p>
      <w:r>
        <w:t>---</w:t>
      </w:r>
    </w:p>
    <w:p/>
    <w:p>
      <w:pPr>
        <w:pStyle w:val="Heading1"/>
      </w:pPr>
      <w:r>
        <w:t>SECTION 2: CARRIER ONBOARDING REQUIREMENTS</w:t>
      </w:r>
    </w:p>
    <w:p/>
    <w:p>
      <w:pPr>
        <w:pStyle w:val="Heading2"/>
      </w:pPr>
      <w:r>
        <w:t>2.1 Federal Operating Authority Requirements</w:t>
      </w:r>
    </w:p>
    <w:p/>
    <w:p>
      <w:r>
        <w:t>Before a carrier can be onboarded by a broker or shipper, the following federal registrations must be verified and documented:</w:t>
      </w:r>
    </w:p>
    <w:p/>
    <w:p>
      <w:r/>
      <w:r>
        <w:rPr>
          <w:b/>
        </w:rPr>
        <w:t>FMCSA Operating Authority (MC Number)</w:t>
      </w:r>
      <w:r/>
    </w:p>
    <w:p>
      <w:pPr>
        <w:pStyle w:val="ListParagraph"/>
      </w:pPr>
      <w:r>
        <w:t>Required for: All for-hire carriers transporting regulated commodities in interstate commerce</w:t>
      </w:r>
    </w:p>
    <w:p>
      <w:pPr>
        <w:pStyle w:val="ListParagraph"/>
      </w:pPr>
      <w:r>
        <w:t>Registration portal: FMCSA Unified Registration System (URS)</w:t>
      </w:r>
    </w:p>
    <w:p>
      <w:pPr>
        <w:pStyle w:val="ListParagraph"/>
      </w:pPr>
      <w:r>
        <w:t>Processing time: 20–25 business days for new applications</w:t>
      </w:r>
    </w:p>
    <w:p>
      <w:pPr>
        <w:pStyle w:val="ListParagraph"/>
      </w:pPr>
      <w:r>
        <w:t>Annual update requirement: Address, insurance, and officer information</w:t>
      </w:r>
    </w:p>
    <w:p/>
    <w:p>
      <w:r/>
      <w:r>
        <w:rPr>
          <w:b/>
        </w:rPr>
        <w:t>DOT Number Registration</w:t>
      </w:r>
      <w:r/>
    </w:p>
    <w:p>
      <w:pPr>
        <w:pStyle w:val="ListParagraph"/>
      </w:pPr>
      <w:r>
        <w:t>Required for: All commercial motor vehicles over 10,001 lbs GVWR in interstate commerce</w:t>
      </w:r>
    </w:p>
    <w:p>
      <w:pPr>
        <w:pStyle w:val="ListParagraph"/>
      </w:pPr>
      <w:r>
        <w:t>Biennial update requirement via MCS-150 form</w:t>
      </w:r>
    </w:p>
    <w:p>
      <w:pPr>
        <w:pStyle w:val="ListParagraph"/>
      </w:pPr>
      <w:r>
        <w:t>Failure to update: $1,000/day civil penalty</w:t>
      </w:r>
    </w:p>
    <w:p/>
    <w:p>
      <w:r/>
      <w:r>
        <w:rPr>
          <w:b/>
        </w:rPr>
        <w:t>UCR (Unified Carrier Registration)</w:t>
      </w:r>
      <w:r/>
    </w:p>
    <w:p>
      <w:pPr>
        <w:pStyle w:val="ListParagraph"/>
      </w:pPr>
      <w:r>
        <w:t>Annual registration required for all interstate carriers, brokers, and freight forwarders</w:t>
      </w:r>
    </w:p>
    <w:p>
      <w:pPr>
        <w:pStyle w:val="ListParagraph"/>
      </w:pPr>
      <w:r>
        <w:t>Fee structure based on fleet size (2–20 vehicles: $76/year; 1,000+ vehicles: $52,836/year)</w:t>
      </w:r>
    </w:p>
    <w:p>
      <w:pPr>
        <w:pStyle w:val="ListParagraph"/>
      </w:pPr>
      <w:r>
        <w:t>Compliance check: Must be current year registration</w:t>
      </w:r>
    </w:p>
    <w:p/>
    <w:p>
      <w:r/>
      <w:r>
        <w:rPr>
          <w:b/>
        </w:rPr>
        <w:t>International Registration Plan (IRP)</w:t>
      </w:r>
      <w:r/>
    </w:p>
    <w:p>
      <w:pPr>
        <w:pStyle w:val="ListParagraph"/>
      </w:pPr>
      <w:r>
        <w:t>Required for vehicles operating in multiple U.S. states and Canadian provinces</w:t>
      </w:r>
    </w:p>
    <w:p>
      <w:pPr>
        <w:pStyle w:val="ListParagraph"/>
      </w:pPr>
      <w:r>
        <w:t>Pro-rated registration fees based on miles traveled per jurisdiction</w:t>
      </w:r>
    </w:p>
    <w:p>
      <w:pPr>
        <w:pStyle w:val="ListParagraph"/>
      </w:pPr>
      <w:r>
        <w:t>Annual renewal with mileage reporting</w:t>
      </w:r>
    </w:p>
    <w:p/>
    <w:p>
      <w:pPr>
        <w:pStyle w:val="Heading2"/>
      </w:pPr>
      <w:r>
        <w:t>2.2 The Carrier Onboarding Documentation Checklist</w:t>
      </w:r>
    </w:p>
    <w:p/>
    <w:p>
      <w:r>
        <w:t>A complete carrier onboarding package requires the following 22 documents:</w:t>
      </w:r>
    </w:p>
    <w:p/>
    <w:p>
      <w:r/>
      <w:r>
        <w:rPr>
          <w:b/>
        </w:rPr>
        <w:t>Identity &amp; Authorization Documents:</w:t>
      </w:r>
      <w:r/>
    </w:p>
    <w:p>
      <w:pPr>
        <w:pStyle w:val="ListParagraph"/>
      </w:pPr>
      <w:r>
        <w:t xml:space="preserve">1. </w:t>
      </w:r>
      <w:r>
        <w:t>FMCSA Operating Authority Certificate (MC Number active status)</w:t>
      </w:r>
    </w:p>
    <w:p>
      <w:pPr>
        <w:pStyle w:val="ListParagraph"/>
      </w:pPr>
      <w:r>
        <w:t xml:space="preserve">2. </w:t>
      </w:r>
      <w:r>
        <w:t>DOT Number registration confirmation (current MCS-150)</w:t>
      </w:r>
    </w:p>
    <w:p>
      <w:pPr>
        <w:pStyle w:val="ListParagraph"/>
      </w:pPr>
      <w:r>
        <w:t xml:space="preserve">3. </w:t>
      </w:r>
      <w:r>
        <w:t>Articles of Incorporation or Business License</w:t>
      </w:r>
    </w:p>
    <w:p>
      <w:pPr>
        <w:pStyle w:val="ListParagraph"/>
      </w:pPr>
      <w:r>
        <w:t xml:space="preserve">4. </w:t>
      </w:r>
      <w:r>
        <w:t>Federal Employer Identification Number (FEIN) / W-9</w:t>
      </w:r>
    </w:p>
    <w:p>
      <w:pPr>
        <w:pStyle w:val="ListParagraph"/>
      </w:pPr>
      <w:r>
        <w:t xml:space="preserve">5. </w:t>
      </w:r>
      <w:r>
        <w:t>Principal officer identification (government-issued ID)</w:t>
      </w:r>
    </w:p>
    <w:p/>
    <w:p>
      <w:r/>
      <w:r>
        <w:rPr>
          <w:b/>
        </w:rPr>
        <w:t>Insurance Documentation:</w:t>
      </w:r>
      <w:r/>
    </w:p>
    <w:p>
      <w:pPr>
        <w:pStyle w:val="ListParagraph"/>
      </w:pPr>
      <w:r>
        <w:t xml:space="preserve">6. </w:t>
      </w:r>
      <w:r>
        <w:t>Certificate of Insurance (COI) — $750,000 minimum liability (general freight)</w:t>
      </w:r>
    </w:p>
    <w:p>
      <w:pPr>
        <w:pStyle w:val="ListParagraph"/>
      </w:pPr>
      <w:r>
        <w:t xml:space="preserve">7. </w:t>
      </w:r>
      <w:r>
        <w:t>Certificate of Insurance — $5,000,000 minimum (hazmat carriers)</w:t>
      </w:r>
    </w:p>
    <w:p>
      <w:pPr>
        <w:pStyle w:val="ListParagraph"/>
      </w:pPr>
      <w:r>
        <w:t xml:space="preserve">8. </w:t>
      </w:r>
      <w:r>
        <w:t>Cargo insurance certificate — $100,000 minimum</w:t>
      </w:r>
    </w:p>
    <w:p>
      <w:pPr>
        <w:pStyle w:val="ListParagraph"/>
      </w:pPr>
      <w:r>
        <w:t xml:space="preserve">9. </w:t>
      </w:r>
      <w:r>
        <w:t>Workers Compensation certificate (if applicable by state)</w:t>
      </w:r>
    </w:p>
    <w:p>
      <w:pPr>
        <w:pStyle w:val="ListParagraph"/>
      </w:pPr>
      <w:r>
        <w:t xml:space="preserve">10. </w:t>
      </w:r>
      <w:r>
        <w:t>Bobtail/Non-Trucking Liability certificate</w:t>
      </w:r>
    </w:p>
    <w:p/>
    <w:p>
      <w:r/>
      <w:r>
        <w:rPr>
          <w:b/>
        </w:rPr>
        <w:t>Safety &amp; Compliance Records:</w:t>
      </w:r>
      <w:r/>
    </w:p>
    <w:p>
      <w:pPr>
        <w:pStyle w:val="ListParagraph"/>
      </w:pPr>
      <w:r>
        <w:t xml:space="preserve">11. </w:t>
      </w:r>
      <w:r>
        <w:t>FMCSA Safety Rating documentation (Satisfactory or Conditional)</w:t>
      </w:r>
    </w:p>
    <w:p>
      <w:pPr>
        <w:pStyle w:val="ListParagraph"/>
      </w:pPr>
      <w:r>
        <w:t xml:space="preserve">12. </w:t>
      </w:r>
      <w:r>
        <w:t>SMS (Safety Measurement System) BASIC scores — printed report</w:t>
      </w:r>
    </w:p>
    <w:p>
      <w:pPr>
        <w:pStyle w:val="ListParagraph"/>
      </w:pPr>
      <w:r>
        <w:t xml:space="preserve">13. </w:t>
      </w:r>
      <w:r>
        <w:t>Driver qualification files summary (DQ file index)</w:t>
      </w:r>
    </w:p>
    <w:p>
      <w:pPr>
        <w:pStyle w:val="ListParagraph"/>
      </w:pPr>
      <w:r>
        <w:t xml:space="preserve">14. </w:t>
      </w:r>
      <w:r>
        <w:t>Drug and Alcohol Testing Program certification (C/TPA enrollment)</w:t>
      </w:r>
    </w:p>
    <w:p>
      <w:pPr>
        <w:pStyle w:val="ListParagraph"/>
      </w:pPr>
      <w:r>
        <w:t xml:space="preserve">15. </w:t>
      </w:r>
      <w:r>
        <w:t>ELD provider registration confirmation</w:t>
      </w:r>
    </w:p>
    <w:p/>
    <w:p>
      <w:r/>
      <w:r>
        <w:rPr>
          <w:b/>
        </w:rPr>
        <w:t>Equipment Documentation:</w:t>
      </w:r>
      <w:r/>
    </w:p>
    <w:p>
      <w:pPr>
        <w:pStyle w:val="ListParagraph"/>
      </w:pPr>
      <w:r>
        <w:t xml:space="preserve">16. </w:t>
      </w:r>
      <w:r>
        <w:t>Vehicle registration certificates (all units)</w:t>
      </w:r>
    </w:p>
    <w:p>
      <w:pPr>
        <w:pStyle w:val="ListParagraph"/>
      </w:pPr>
      <w:r>
        <w:t xml:space="preserve">17. </w:t>
      </w:r>
      <w:r>
        <w:t>Annual DOT inspection records (within 12 months)</w:t>
      </w:r>
    </w:p>
    <w:p>
      <w:pPr>
        <w:pStyle w:val="ListParagraph"/>
      </w:pPr>
      <w:r>
        <w:t xml:space="preserve">18. </w:t>
      </w:r>
      <w:r>
        <w:t>IFTA (International Fuel Tax Agreement) license</w:t>
      </w:r>
    </w:p>
    <w:p>
      <w:pPr>
        <w:pStyle w:val="ListParagraph"/>
      </w:pPr>
      <w:r>
        <w:t xml:space="preserve">19. </w:t>
      </w:r>
      <w:r>
        <w:t>Hazmat permit (if applicable)</w:t>
      </w:r>
    </w:p>
    <w:p/>
    <w:p>
      <w:r/>
      <w:r>
        <w:rPr>
          <w:b/>
        </w:rPr>
        <w:t>Financial &amp; Banking:</w:t>
      </w:r>
      <w:r/>
    </w:p>
    <w:p>
      <w:pPr>
        <w:pStyle w:val="ListParagraph"/>
      </w:pPr>
      <w:r>
        <w:t xml:space="preserve">20. </w:t>
      </w:r>
      <w:r>
        <w:t>Direct deposit ACH authorization form</w:t>
      </w:r>
    </w:p>
    <w:p>
      <w:pPr>
        <w:pStyle w:val="ListParagraph"/>
      </w:pPr>
      <w:r>
        <w:t xml:space="preserve">21. </w:t>
      </w:r>
      <w:r>
        <w:t>QuickPay enrollment form (if applicable)</w:t>
      </w:r>
    </w:p>
    <w:p>
      <w:pPr>
        <w:pStyle w:val="ListParagraph"/>
      </w:pPr>
      <w:r>
        <w:t xml:space="preserve">22. </w:t>
      </w:r>
      <w:r>
        <w:t>Fuel Card program agreement (if applicable)</w:t>
      </w:r>
    </w:p>
    <w:p/>
    <w:p>
      <w:pPr>
        <w:pStyle w:val="Heading2"/>
      </w:pPr>
      <w:r>
        <w:t>2.3 Insurance Thresholds by Commodity Type</w:t>
      </w:r>
    </w:p>
    <w:p/>
    <w:p>
      <w:r>
        <w:t>| Commodity Type | Minimum Liability | Minimum Cargo | Notes |</w:t>
      </w:r>
    </w:p>
    <w:p>
      <w:r>
        <w:t>|---|---|---|---|</w:t>
      </w:r>
    </w:p>
    <w:p>
      <w:r>
        <w:t>| General Freight | $750,000 | $100,000 | FMCSA 49 CFR 387.9 |</w:t>
      </w:r>
    </w:p>
    <w:p>
      <w:r>
        <w:t>| Hazardous Materials | $5,000,000 | $250,000 | Varies by material class |</w:t>
      </w:r>
    </w:p>
    <w:p>
      <w:r>
        <w:t>| Household Goods | $750,000 | $5,000/vehicle | Plus released value |</w:t>
      </w:r>
    </w:p>
    <w:p>
      <w:r>
        <w:t>| Passenger Vehicles | $5,000,000 | N/A | |</w:t>
      </w:r>
    </w:p>
    <w:p>
      <w:r>
        <w:t>| Oil/Gas (bulk) | $1,000,000 | $250,000 | |</w:t>
      </w:r>
    </w:p>
    <w:p>
      <w:r>
        <w:t>| Cold Chain (pharma) | $1,000,000 | $250,000 | Shipper-mandated |</w:t>
      </w:r>
    </w:p>
    <w:p/>
    <w:p>
      <w:pPr>
        <w:pStyle w:val="Heading2"/>
      </w:pPr>
      <w:r>
        <w:t>2.4 Carrier Vetting: The FMCSA SAFER System</w:t>
      </w:r>
    </w:p>
    <w:p/>
    <w:p>
      <w:r>
        <w:t>The FMCSA Safety and Fitness Electronic Records (SAFER) system is the primary carrier vetting tool. A compliant onboarding process must document:</w:t>
      </w:r>
    </w:p>
    <w:p/>
    <w:p>
      <w:pPr>
        <w:pStyle w:val="ListParagraph"/>
      </w:pPr>
      <w:r/>
      <w:r>
        <w:rPr>
          <w:b/>
        </w:rPr>
        <w:t>Active Authority Status:</w:t>
      </w:r>
      <w:r>
        <w:t xml:space="preserve"> MC and DOT numbers must show "Active" status</w:t>
      </w:r>
    </w:p>
    <w:p>
      <w:pPr>
        <w:pStyle w:val="ListParagraph"/>
      </w:pPr>
      <w:r/>
      <w:r>
        <w:rPr>
          <w:b/>
        </w:rPr>
        <w:t>Insurance on File:</w:t>
      </w:r>
      <w:r>
        <w:t xml:space="preserve"> Current insurance filings must be visible in SAFER</w:t>
      </w:r>
    </w:p>
    <w:p>
      <w:pPr>
        <w:pStyle w:val="ListParagraph"/>
      </w:pPr>
      <w:r/>
      <w:r>
        <w:rPr>
          <w:b/>
        </w:rPr>
        <w:t>Out-of-Service (OOS) Rates:</w:t>
      </w:r>
      <w:r>
        <w:t xml:space="preserve"> Must be below national averages</w:t>
      </w:r>
    </w:p>
    <w:p>
      <w:pPr>
        <w:pStyle w:val="ListParagraph"/>
      </w:pPr>
      <w:r>
        <w:t>Vehicle OOS rate: National average 20.72% — flag carriers above 30%</w:t>
      </w:r>
    </w:p>
    <w:p>
      <w:pPr>
        <w:pStyle w:val="ListParagraph"/>
      </w:pPr>
      <w:r>
        <w:t>Driver OOS rate: National average 5.51% — flag carriers above 8%</w:t>
      </w:r>
    </w:p>
    <w:p>
      <w:pPr>
        <w:pStyle w:val="ListParagraph"/>
      </w:pPr>
      <w:r>
        <w:t>Hazmat OOS rate: National average 4.49% — flag carriers above 6%</w:t>
      </w:r>
    </w:p>
    <w:p>
      <w:pPr>
        <w:pStyle w:val="ListParagraph"/>
      </w:pPr>
      <w:r/>
      <w:r>
        <w:rPr>
          <w:b/>
        </w:rPr>
        <w:t>Crash Rate:</w:t>
      </w:r>
      <w:r>
        <w:t xml:space="preserve"> Must be reviewed against carrier's miles operated</w:t>
      </w:r>
    </w:p>
    <w:p>
      <w:pPr>
        <w:pStyle w:val="ListParagraph"/>
      </w:pPr>
      <w:r/>
      <w:r>
        <w:rPr>
          <w:b/>
        </w:rPr>
        <w:t>Inspections:</w:t>
      </w:r>
      <w:r>
        <w:t xml:space="preserve"> Minimum 3 inspections required for meaningful data</w:t>
      </w:r>
    </w:p>
    <w:p/>
    <w:p>
      <w:r>
        <w:t>---</w:t>
      </w:r>
    </w:p>
    <w:p/>
    <w:p>
      <w:pPr>
        <w:pStyle w:val="Heading1"/>
      </w:pPr>
      <w:r>
        <w:t>SECTION 3: FREIGHT BROKER COMPLIANCE REQUIREMENTS</w:t>
      </w:r>
    </w:p>
    <w:p/>
    <w:p>
      <w:pPr>
        <w:pStyle w:val="Heading2"/>
      </w:pPr>
      <w:r>
        <w:t>3.1 Broker Operating Authority</w:t>
      </w:r>
    </w:p>
    <w:p/>
    <w:p>
      <w:r>
        <w:t>Freight brokers arranging transportation of regulated commodities must maintain:</w:t>
      </w:r>
    </w:p>
    <w:p/>
    <w:p>
      <w:r/>
      <w:r>
        <w:rPr>
          <w:b/>
        </w:rPr>
        <w:t>Broker Authority (BMC-84/85 Bond)</w:t>
      </w:r>
      <w:r/>
    </w:p>
    <w:p>
      <w:pPr>
        <w:pStyle w:val="ListParagraph"/>
      </w:pPr>
      <w:r>
        <w:t>Surety bond or trust fund: $75,000 minimum (increased from $10,000 in 2013)</w:t>
      </w:r>
    </w:p>
    <w:p>
      <w:pPr>
        <w:pStyle w:val="ListParagraph"/>
      </w:pPr>
      <w:r>
        <w:t>Bond provider must be FMCSA-approved surety company</w:t>
      </w:r>
    </w:p>
    <w:p>
      <w:pPr>
        <w:pStyle w:val="ListParagraph"/>
      </w:pPr>
      <w:r>
        <w:t>Bond must remain continuously active — any lapse triggers automatic authority revocation</w:t>
      </w:r>
    </w:p>
    <w:p/>
    <w:p>
      <w:r/>
      <w:r>
        <w:rPr>
          <w:b/>
        </w:rPr>
        <w:t>Broker Registration Requirements:</w:t>
      </w:r>
      <w:r/>
    </w:p>
    <w:p>
      <w:pPr>
        <w:pStyle w:val="ListParagraph"/>
      </w:pPr>
      <w:r>
        <w:t>FMCSA Property Broker Authority (MC Number with "B" suffix)</w:t>
      </w:r>
    </w:p>
    <w:p>
      <w:pPr>
        <w:pStyle w:val="ListParagraph"/>
      </w:pPr>
      <w:r>
        <w:t>Process Agent designation (BOC-3 form filed)</w:t>
      </w:r>
    </w:p>
    <w:p>
      <w:pPr>
        <w:pStyle w:val="ListParagraph"/>
      </w:pPr>
      <w:r>
        <w:t>Designated Agent in each state of operation</w:t>
      </w:r>
    </w:p>
    <w:p>
      <w:pPr>
        <w:pStyle w:val="ListParagraph"/>
      </w:pPr>
      <w:r>
        <w:t>Annual UCR registration</w:t>
      </w:r>
    </w:p>
    <w:p/>
    <w:p>
      <w:pPr>
        <w:pStyle w:val="Heading2"/>
      </w:pPr>
      <w:r>
        <w:t>3.2 Broker-Carrier Agreement (BCA) Requirements</w:t>
      </w:r>
    </w:p>
    <w:p/>
    <w:p>
      <w:r>
        <w:t>A legally compliant Broker-Carrier Agreement must include:</w:t>
      </w:r>
    </w:p>
    <w:p/>
    <w:p>
      <w:pPr>
        <w:pStyle w:val="ListParagraph"/>
      </w:pPr>
      <w:r>
        <w:t xml:space="preserve">1. </w:t>
      </w:r>
      <w:r/>
      <w:r>
        <w:rPr>
          <w:b/>
        </w:rPr>
        <w:t>Carrier Vetting Standards Clause</w:t>
      </w:r>
      <w:r>
        <w:t xml:space="preserve"> — Broker's process for verifying carrier safety</w:t>
      </w:r>
    </w:p>
    <w:p>
      <w:pPr>
        <w:pStyle w:val="ListParagraph"/>
      </w:pPr>
      <w:r>
        <w:t xml:space="preserve">2. </w:t>
      </w:r>
      <w:r/>
      <w:r>
        <w:rPr>
          <w:b/>
        </w:rPr>
        <w:t>Insurance Requirements</w:t>
      </w:r>
      <w:r>
        <w:t xml:space="preserve"> — Minimum thresholds and additional insured requirements</w:t>
      </w:r>
    </w:p>
    <w:p>
      <w:pPr>
        <w:pStyle w:val="ListParagraph"/>
      </w:pPr>
      <w:r>
        <w:t xml:space="preserve">3. </w:t>
      </w:r>
      <w:r/>
      <w:r>
        <w:rPr>
          <w:b/>
        </w:rPr>
        <w:t>Double Brokering Prohibition</w:t>
      </w:r>
      <w:r>
        <w:t xml:space="preserve"> — Explicit prohibition and penalty structure</w:t>
      </w:r>
    </w:p>
    <w:p>
      <w:pPr>
        <w:pStyle w:val="ListParagraph"/>
      </w:pPr>
      <w:r>
        <w:t xml:space="preserve">4. </w:t>
      </w:r>
      <w:r/>
      <w:r>
        <w:rPr>
          <w:b/>
        </w:rPr>
        <w:t>Payment Terms</w:t>
      </w:r>
      <w:r>
        <w:t xml:space="preserve"> — Standard 30-day; QuickPay terms if offered</w:t>
      </w:r>
    </w:p>
    <w:p>
      <w:pPr>
        <w:pStyle w:val="ListParagraph"/>
      </w:pPr>
      <w:r>
        <w:t xml:space="preserve">5. </w:t>
      </w:r>
      <w:r/>
      <w:r>
        <w:rPr>
          <w:b/>
        </w:rPr>
        <w:t>Load Confirmation Requirements</w:t>
      </w:r>
      <w:r>
        <w:t xml:space="preserve"> — What constitutes a binding load confirmation</w:t>
      </w:r>
    </w:p>
    <w:p>
      <w:pPr>
        <w:pStyle w:val="ListParagraph"/>
      </w:pPr>
      <w:r>
        <w:t xml:space="preserve">6. </w:t>
      </w:r>
      <w:r/>
      <w:r>
        <w:rPr>
          <w:b/>
        </w:rPr>
        <w:t>Claims Procedure</w:t>
      </w:r>
      <w:r>
        <w:t xml:space="preserve"> — Cargo claim filing deadlines (9 months standard)</w:t>
      </w:r>
    </w:p>
    <w:p>
      <w:pPr>
        <w:pStyle w:val="ListParagraph"/>
      </w:pPr>
      <w:r>
        <w:t xml:space="preserve">7. </w:t>
      </w:r>
      <w:r/>
      <w:r>
        <w:rPr>
          <w:b/>
        </w:rPr>
        <w:t>Exclusivity Clause</w:t>
      </w:r>
      <w:r>
        <w:t xml:space="preserve"> — Whether carrier can solicit shipper directly</w:t>
      </w:r>
    </w:p>
    <w:p>
      <w:pPr>
        <w:pStyle w:val="ListParagraph"/>
      </w:pPr>
      <w:r>
        <w:t xml:space="preserve">8. </w:t>
      </w:r>
      <w:r/>
      <w:r>
        <w:rPr>
          <w:b/>
        </w:rPr>
        <w:t>Indemnification Provisions</w:t>
      </w:r>
      <w:r>
        <w:t xml:space="preserve"> — Mutual indemnification language</w:t>
      </w:r>
    </w:p>
    <w:p>
      <w:pPr>
        <w:pStyle w:val="ListParagraph"/>
      </w:pPr>
      <w:r>
        <w:t xml:space="preserve">9. </w:t>
      </w:r>
      <w:r/>
      <w:r>
        <w:rPr>
          <w:b/>
        </w:rPr>
        <w:t>Governing Law</w:t>
      </w:r>
      <w:r>
        <w:t xml:space="preserve"> — Jurisdiction for dispute resolution</w:t>
      </w:r>
    </w:p>
    <w:p>
      <w:pPr>
        <w:pStyle w:val="ListParagraph"/>
      </w:pPr>
      <w:r>
        <w:t xml:space="preserve">10. </w:t>
      </w:r>
      <w:r/>
      <w:r>
        <w:rPr>
          <w:b/>
        </w:rPr>
        <w:t>Data Privacy Compliance</w:t>
      </w:r>
      <w:r>
        <w:t xml:space="preserve"> — CCPA/GDPR compliance for digital platforms</w:t>
      </w:r>
    </w:p>
    <w:p/>
    <w:p>
      <w:pPr>
        <w:pStyle w:val="Heading2"/>
      </w:pPr>
      <w:r>
        <w:t>3.3 The Double Brokering Epidemic: 2025 Update</w:t>
      </w:r>
    </w:p>
    <w:p/>
    <w:p>
      <w:r>
        <w:t>Double brokering — the unauthorized re-brokering of loads — has reached crisis levels:</w:t>
      </w:r>
    </w:p>
    <w:p/>
    <w:p>
      <w:pPr>
        <w:pStyle w:val="ListParagraph"/>
      </w:pPr>
      <w:r/>
      <w:r>
        <w:rPr>
          <w:b/>
        </w:rPr>
        <w:t>Estimated annual cost to industry:</w:t>
      </w:r>
      <w:r>
        <w:t xml:space="preserve"> $800M in fraudulent loads annually</w:t>
      </w:r>
    </w:p>
    <w:p>
      <w:pPr>
        <w:pStyle w:val="ListParagraph"/>
      </w:pPr>
      <w:r/>
      <w:r>
        <w:rPr>
          <w:b/>
        </w:rPr>
        <w:t>Incidents reported in 2024:</w:t>
      </w:r>
      <w:r>
        <w:t xml:space="preserve"> 47,000+ verified cases (up 23% from 2023)</w:t>
      </w:r>
    </w:p>
    <w:p>
      <w:pPr>
        <w:pStyle w:val="ListParagraph"/>
      </w:pPr>
      <w:r/>
      <w:r>
        <w:rPr>
          <w:b/>
        </w:rPr>
        <w:t>Average loss per incident:</w:t>
      </w:r>
      <w:r>
        <w:t xml:space="preserve"> $17,000</w:t>
      </w:r>
    </w:p>
    <w:p>
      <w:pPr>
        <w:pStyle w:val="ListParagraph"/>
      </w:pPr>
      <w:r/>
      <w:r>
        <w:rPr>
          <w:b/>
        </w:rPr>
        <w:t>States with highest incidence:</w:t>
      </w:r>
      <w:r>
        <w:t xml:space="preserve"> California, Texas, Florida, Illinois, New York</w:t>
      </w:r>
    </w:p>
    <w:p/>
    <w:p>
      <w:r/>
      <w:r>
        <w:rPr>
          <w:b/>
        </w:rPr>
        <w:t>Prevention Requirements for Compliant Operations:</w:t>
      </w:r>
      <w:r/>
    </w:p>
    <w:p>
      <w:pPr>
        <w:pStyle w:val="ListParagraph"/>
      </w:pPr>
      <w:r>
        <w:t>Real-time carrier identity verification (not just SAFER lookup)</w:t>
      </w:r>
    </w:p>
    <w:p>
      <w:pPr>
        <w:pStyle w:val="ListParagraph"/>
      </w:pPr>
      <w:r>
        <w:t>Phone verification at pickup — driver name must match DQ file</w:t>
      </w:r>
    </w:p>
    <w:p>
      <w:pPr>
        <w:pStyle w:val="ListParagraph"/>
      </w:pPr>
      <w:r>
        <w:t>GPS/ELD tracking confirmation before load release</w:t>
      </w:r>
    </w:p>
    <w:p>
      <w:pPr>
        <w:pStyle w:val="ListParagraph"/>
      </w:pPr>
      <w:r>
        <w:t>Digital load confirmation with carrier identity lock</w:t>
      </w:r>
    </w:p>
    <w:p>
      <w:pPr>
        <w:pStyle w:val="ListParagraph"/>
      </w:pPr>
      <w:r>
        <w:t>Cargo theft alert network subscription (CargoNet or similar)</w:t>
      </w:r>
    </w:p>
    <w:p/>
    <w:p>
      <w:r>
        <w:t>---</w:t>
      </w:r>
    </w:p>
    <w:p/>
    <w:p>
      <w:pPr>
        <w:pStyle w:val="Heading1"/>
      </w:pPr>
      <w:r>
        <w:t>SECTION 4: 3PL ONBOARDING FRAMEWORK</w:t>
      </w:r>
    </w:p>
    <w:p/>
    <w:p>
      <w:pPr>
        <w:pStyle w:val="Heading2"/>
      </w:pPr>
      <w:r>
        <w:t>4.1 Shipper-3PL Service Agreement Requirements</w:t>
      </w:r>
    </w:p>
    <w:p/>
    <w:p>
      <w:r>
        <w:t>When a mid-market company engages a 3PL provider, the onboarding documentation package must cover:</w:t>
      </w:r>
    </w:p>
    <w:p/>
    <w:p>
      <w:r/>
      <w:r>
        <w:rPr>
          <w:b/>
        </w:rPr>
        <w:t>Scope of Services Definition:</w:t>
      </w:r>
      <w:r/>
    </w:p>
    <w:p>
      <w:pPr>
        <w:pStyle w:val="ListParagraph"/>
      </w:pPr>
      <w:r>
        <w:t>Transportation management scope (TL, LTL, intermodal, parcel)</w:t>
      </w:r>
    </w:p>
    <w:p>
      <w:pPr>
        <w:pStyle w:val="ListParagraph"/>
      </w:pPr>
      <w:r>
        <w:t>Warehousing and fulfillment scope (if applicable)</w:t>
      </w:r>
    </w:p>
    <w:p>
      <w:pPr>
        <w:pStyle w:val="ListParagraph"/>
      </w:pPr>
      <w:r>
        <w:t>Customs brokerage authority (for international shipments)</w:t>
      </w:r>
    </w:p>
    <w:p>
      <w:pPr>
        <w:pStyle w:val="ListParagraph"/>
      </w:pPr>
      <w:r>
        <w:t>Technology integration requirements (EDI, API, TMS connectivity)</w:t>
      </w:r>
    </w:p>
    <w:p/>
    <w:p>
      <w:r/>
      <w:r>
        <w:rPr>
          <w:b/>
        </w:rPr>
        <w:t>Performance Standards:</w:t>
      </w:r>
      <w:r/>
    </w:p>
    <w:p>
      <w:pPr>
        <w:pStyle w:val="ListParagraph"/>
      </w:pPr>
      <w:r>
        <w:t>On-time pickup and delivery KPIs (industry standard: 95%+ OTIF)</w:t>
      </w:r>
    </w:p>
    <w:p>
      <w:pPr>
        <w:pStyle w:val="ListParagraph"/>
      </w:pPr>
      <w:r>
        <w:t>Claims ratio thresholds (industry standard: &lt;0.5% of shipments)</w:t>
      </w:r>
    </w:p>
    <w:p>
      <w:pPr>
        <w:pStyle w:val="ListParagraph"/>
      </w:pPr>
      <w:r>
        <w:t>Invoice accuracy targets (industry standard: 98%+)</w:t>
      </w:r>
    </w:p>
    <w:p>
      <w:pPr>
        <w:pStyle w:val="ListParagraph"/>
      </w:pPr>
      <w:r>
        <w:t>Reporting frequency and format requirements</w:t>
      </w:r>
    </w:p>
    <w:p/>
    <w:p>
      <w:r/>
      <w:r>
        <w:rPr>
          <w:b/>
        </w:rPr>
        <w:t>Data Security Requirements (2025 Standards):</w:t>
      </w:r>
      <w:r/>
    </w:p>
    <w:p>
      <w:pPr>
        <w:pStyle w:val="ListParagraph"/>
      </w:pPr>
      <w:r>
        <w:t>SOC 2 Type II certification required for technology providers</w:t>
      </w:r>
    </w:p>
    <w:p>
      <w:pPr>
        <w:pStyle w:val="ListParagraph"/>
      </w:pPr>
      <w:r>
        <w:t>CTPAT (Customs-Trade Partnership Against Terrorism) membership preferred</w:t>
      </w:r>
    </w:p>
    <w:p>
      <w:pPr>
        <w:pStyle w:val="ListParagraph"/>
      </w:pPr>
      <w:r>
        <w:t>Cybersecurity incident response plan documentation</w:t>
      </w:r>
    </w:p>
    <w:p>
      <w:pPr>
        <w:pStyle w:val="ListParagraph"/>
      </w:pPr>
      <w:r>
        <w:t>Data breach notification procedures (72-hour requirement)</w:t>
      </w:r>
    </w:p>
    <w:p/>
    <w:p>
      <w:pPr>
        <w:pStyle w:val="Heading2"/>
      </w:pPr>
      <w:r>
        <w:t>4.2 EDI and Technology Integration Standards</w:t>
      </w:r>
    </w:p>
    <w:p/>
    <w:p>
      <w:r>
        <w:t>Modern 3PL onboarding requires digital integration. Standard EDI transaction sets:</w:t>
      </w:r>
    </w:p>
    <w:p/>
    <w:p>
      <w:r>
        <w:t>| EDI Transaction | Description | Direction |</w:t>
      </w:r>
    </w:p>
    <w:p>
      <w:r>
        <w:t>|---|---|---|</w:t>
      </w:r>
    </w:p>
    <w:p>
      <w:r>
        <w:t>| 204 | Motor Carrier Load Tender | Shipper to Carrier |</w:t>
      </w:r>
    </w:p>
    <w:p>
      <w:r>
        <w:t>| 210 | Motor Carrier Freight Invoice | Carrier to Shipper |</w:t>
      </w:r>
    </w:p>
    <w:p>
      <w:r>
        <w:t>| 214 | Transportation Carrier Shipment Status | Carrier to Shipper |</w:t>
      </w:r>
    </w:p>
    <w:p>
      <w:r>
        <w:t>| 990 | Response to Load Tender | Carrier to Shipper |</w:t>
      </w:r>
    </w:p>
    <w:p>
      <w:r>
        <w:t>| 997 | Functional Acknowledgment | Both directions |</w:t>
      </w:r>
    </w:p>
    <w:p>
      <w:r>
        <w:t>| 856 | Advance Ship Notice | Carrier to Shipper |</w:t>
      </w:r>
    </w:p>
    <w:p>
      <w:r>
        <w:t>| 310 | Freight Receipt and Invoice (Ocean) | Carrier to Shipper |</w:t>
      </w:r>
    </w:p>
    <w:p/>
    <w:p>
      <w:r/>
      <w:r>
        <w:rPr>
          <w:b/>
        </w:rPr>
        <w:t>API Integration Requirements:</w:t>
      </w:r>
      <w:r/>
    </w:p>
    <w:p>
      <w:r>
        <w:t>Modern platforms (Uber Freight, Amazon Relay, Echo Global, Convoy alternatives) require:</w:t>
      </w:r>
    </w:p>
    <w:p>
      <w:pPr>
        <w:pStyle w:val="ListParagraph"/>
      </w:pPr>
      <w:r>
        <w:t>RESTful API connectivity</w:t>
      </w:r>
    </w:p>
    <w:p>
      <w:pPr>
        <w:pStyle w:val="ListParagraph"/>
      </w:pPr>
      <w:r>
        <w:t>OAuth 2.0 authentication</w:t>
      </w:r>
    </w:p>
    <w:p>
      <w:pPr>
        <w:pStyle w:val="ListParagraph"/>
      </w:pPr>
      <w:r>
        <w:t>Real-time track-and-trace webhooks</w:t>
      </w:r>
    </w:p>
    <w:p>
      <w:pPr>
        <w:pStyle w:val="ListParagraph"/>
      </w:pPr>
      <w:r>
        <w:t>Automated rate confirmation responses (&lt;15 minute SLA)</w:t>
      </w:r>
    </w:p>
    <w:p/>
    <w:p>
      <w:r>
        <w:t>---</w:t>
      </w:r>
    </w:p>
    <w:p/>
    <w:p>
      <w:pPr>
        <w:pStyle w:val="Heading1"/>
      </w:pPr>
      <w:r>
        <w:t>SECTION 5: HAZMAT COMPLIANCE FRAMEWORK</w:t>
      </w:r>
    </w:p>
    <w:p/>
    <w:p>
      <w:pPr>
        <w:pStyle w:val="Heading2"/>
      </w:pPr>
      <w:r>
        <w:t>5.1 Hazardous Materials Transportation Requirements</w:t>
      </w:r>
    </w:p>
    <w:p/>
    <w:p>
      <w:r>
        <w:t>Carriers transporting hazardous materials face the most complex compliance environment in the industry:</w:t>
      </w:r>
    </w:p>
    <w:p/>
    <w:p>
      <w:r/>
      <w:r>
        <w:rPr>
          <w:b/>
        </w:rPr>
        <w:t>DOT Hazmat Registration (49 CFR 107.601):</w:t>
      </w:r>
      <w:r/>
    </w:p>
    <w:p>
      <w:pPr>
        <w:pStyle w:val="ListParagraph"/>
      </w:pPr>
      <w:r>
        <w:t>Required for carriers transporting certain categories of hazmat in commerce</w:t>
      </w:r>
    </w:p>
    <w:p>
      <w:pPr>
        <w:pStyle w:val="ListParagraph"/>
      </w:pPr>
      <w:r>
        <w:t>Annual registration fee: $250–$2,975 depending on activity</w:t>
      </w:r>
    </w:p>
    <w:p>
      <w:pPr>
        <w:pStyle w:val="ListParagraph"/>
      </w:pPr>
      <w:r>
        <w:t>Two-year registration cycle</w:t>
      </w:r>
    </w:p>
    <w:p>
      <w:pPr>
        <w:pStyle w:val="ListParagraph"/>
      </w:pPr>
      <w:r>
        <w:t>Certificate must be carried in vehicle during hazmat transport</w:t>
      </w:r>
    </w:p>
    <w:p/>
    <w:p>
      <w:r/>
      <w:r>
        <w:rPr>
          <w:b/>
        </w:rPr>
        <w:t>Hazmat Employee Training Requirements:</w:t>
      </w:r>
      <w:r/>
    </w:p>
    <w:p>
      <w:pPr>
        <w:pStyle w:val="ListParagraph"/>
      </w:pPr>
      <w:r>
        <w:t>Initial training required before employee performs hazmat functions</w:t>
      </w:r>
    </w:p>
    <w:p>
      <w:pPr>
        <w:pStyle w:val="ListParagraph"/>
      </w:pPr>
      <w:r>
        <w:t>Recurrent training: Every 3 years</w:t>
      </w:r>
    </w:p>
    <w:p>
      <w:pPr>
        <w:pStyle w:val="ListParagraph"/>
      </w:pPr>
      <w:r>
        <w:t>Training must cover: General awareness, function-specific, safety, and security awareness</w:t>
      </w:r>
    </w:p>
    <w:p>
      <w:pPr>
        <w:pStyle w:val="ListParagraph"/>
      </w:pPr>
      <w:r>
        <w:t>Training records must be retained for 3 years after employment ends</w:t>
      </w:r>
    </w:p>
    <w:p/>
    <w:p>
      <w:r/>
      <w:r>
        <w:rPr>
          <w:b/>
        </w:rPr>
        <w:t>Placard Requirements by Hazard Class:</w:t>
      </w:r>
      <w:r/>
    </w:p>
    <w:p>
      <w:pPr>
        <w:pStyle w:val="ListParagraph"/>
      </w:pPr>
      <w:r>
        <w:t>Class 1 (Explosives): Orange placards</w:t>
      </w:r>
    </w:p>
    <w:p>
      <w:pPr>
        <w:pStyle w:val="ListParagraph"/>
      </w:pPr>
      <w:r>
        <w:t>Class 2 (Gases): Various — flammable, non-flammable, poison</w:t>
      </w:r>
    </w:p>
    <w:p>
      <w:pPr>
        <w:pStyle w:val="ListParagraph"/>
      </w:pPr>
      <w:r>
        <w:t>Class 3 (Flammable Liquids): Red flammable placards (1,001+ lbs)</w:t>
      </w:r>
    </w:p>
    <w:p>
      <w:pPr>
        <w:pStyle w:val="ListParagraph"/>
      </w:pPr>
      <w:r>
        <w:t>Class 4 (Flammable Solids): Various</w:t>
      </w:r>
    </w:p>
    <w:p>
      <w:pPr>
        <w:pStyle w:val="ListParagraph"/>
      </w:pPr>
      <w:r>
        <w:t>Class 5 (Oxidizers): Yellow oxidizer placards</w:t>
      </w:r>
    </w:p>
    <w:p>
      <w:pPr>
        <w:pStyle w:val="ListParagraph"/>
      </w:pPr>
      <w:r>
        <w:t>Class 6 (Poisons): White poison placards</w:t>
      </w:r>
    </w:p>
    <w:p>
      <w:pPr>
        <w:pStyle w:val="ListParagraph"/>
      </w:pPr>
      <w:r>
        <w:t>Class 7 (Radioactive): White/yellow radioactive placards</w:t>
      </w:r>
    </w:p>
    <w:p>
      <w:pPr>
        <w:pStyle w:val="ListParagraph"/>
      </w:pPr>
      <w:r>
        <w:t>Class 8 (Corrosives): Black/white corrosive placards</w:t>
      </w:r>
    </w:p>
    <w:p>
      <w:pPr>
        <w:pStyle w:val="ListParagraph"/>
      </w:pPr>
      <w:r>
        <w:t>Class 9 (Miscellaneous): Black/white striped placards</w:t>
      </w:r>
    </w:p>
    <w:p/>
    <w:p>
      <w:r>
        <w:t>---</w:t>
      </w:r>
    </w:p>
    <w:p/>
    <w:p>
      <w:pPr>
        <w:pStyle w:val="Heading1"/>
      </w:pPr>
      <w:r>
        <w:t>SECTION 6: DRIVER QUALIFICATION &amp; HOURS OF SERVICE</w:t>
      </w:r>
    </w:p>
    <w:p/>
    <w:p>
      <w:pPr>
        <w:pStyle w:val="Heading2"/>
      </w:pPr>
      <w:r>
        <w:t>6.1 Driver Qualification File Requirements</w:t>
      </w:r>
    </w:p>
    <w:p/>
    <w:p>
      <w:r>
        <w:t>Federal regulations (49 CFR Part 391) require carriers to maintain Driver Qualification (DQ) files for all CDL drivers. Each file must contain:</w:t>
      </w:r>
    </w:p>
    <w:p/>
    <w:p>
      <w:r/>
      <w:r>
        <w:rPr>
          <w:b/>
        </w:rPr>
        <w:t>Pre-Employment Requirements:</w:t>
      </w:r>
      <w:r/>
    </w:p>
    <w:p>
      <w:pPr>
        <w:pStyle w:val="ListParagraph"/>
      </w:pPr>
      <w:r>
        <w:t xml:space="preserve">1. </w:t>
      </w:r>
      <w:r>
        <w:t>Employment application (FMCSA-compliant format)</w:t>
      </w:r>
    </w:p>
    <w:p>
      <w:pPr>
        <w:pStyle w:val="ListParagraph"/>
      </w:pPr>
      <w:r>
        <w:t xml:space="preserve">2. </w:t>
      </w:r>
      <w:r>
        <w:t>Motor Vehicle Record (MVR) — from all states of licensure in past 3 years</w:t>
      </w:r>
    </w:p>
    <w:p>
      <w:pPr>
        <w:pStyle w:val="ListParagraph"/>
      </w:pPr>
      <w:r>
        <w:t xml:space="preserve">3. </w:t>
      </w:r>
      <w:r>
        <w:t>Previous employer safety performance history inquiry</w:t>
      </w:r>
    </w:p>
    <w:p>
      <w:pPr>
        <w:pStyle w:val="ListParagraph"/>
      </w:pPr>
      <w:r>
        <w:t xml:space="preserve">4. </w:t>
      </w:r>
      <w:r>
        <w:t>Road test certificate or equivalent (CDL holder)</w:t>
      </w:r>
    </w:p>
    <w:p>
      <w:pPr>
        <w:pStyle w:val="ListParagraph"/>
      </w:pPr>
      <w:r>
        <w:t xml:space="preserve">5. </w:t>
      </w:r>
      <w:r>
        <w:t>Medical Examiner Certificate (valid, on FMCSA National Registry)</w:t>
      </w:r>
    </w:p>
    <w:p>
      <w:pPr>
        <w:pStyle w:val="ListParagraph"/>
      </w:pPr>
      <w:r>
        <w:t xml:space="preserve">6. </w:t>
      </w:r>
      <w:r>
        <w:t>CDL copy with applicable endorsements</w:t>
      </w:r>
    </w:p>
    <w:p>
      <w:pPr>
        <w:pStyle w:val="ListParagraph"/>
      </w:pPr>
      <w:r>
        <w:t xml:space="preserve">7. </w:t>
      </w:r>
      <w:r>
        <w:t>Drug and alcohol pre-employment test — negative result required</w:t>
      </w:r>
    </w:p>
    <w:p>
      <w:pPr>
        <w:pStyle w:val="ListParagraph"/>
      </w:pPr>
      <w:r>
        <w:t xml:space="preserve">8. </w:t>
      </w:r>
      <w:r>
        <w:t>FMCSA Drug and Alcohol Clearinghouse query — must show no prohibitions</w:t>
      </w:r>
    </w:p>
    <w:p/>
    <w:p>
      <w:r/>
      <w:r>
        <w:rPr>
          <w:b/>
        </w:rPr>
        <w:t>Annual Requirements:</w:t>
      </w:r>
      <w:r/>
    </w:p>
    <w:p>
      <w:pPr>
        <w:pStyle w:val="ListParagraph"/>
      </w:pPr>
      <w:r>
        <w:t xml:space="preserve">9. </w:t>
      </w:r>
      <w:r>
        <w:t>Annual MVR review</w:t>
      </w:r>
    </w:p>
    <w:p>
      <w:pPr>
        <w:pStyle w:val="ListParagraph"/>
      </w:pPr>
      <w:r>
        <w:t xml:space="preserve">10. </w:t>
      </w:r>
      <w:r>
        <w:t>Annual review of driving record</w:t>
      </w:r>
    </w:p>
    <w:p>
      <w:pPr>
        <w:pStyle w:val="ListParagraph"/>
      </w:pPr>
      <w:r>
        <w:t xml:space="preserve">11. </w:t>
      </w:r>
      <w:r>
        <w:t>Annual list of violations (driver self-certification)</w:t>
      </w:r>
    </w:p>
    <w:p>
      <w:pPr>
        <w:pStyle w:val="ListParagraph"/>
      </w:pPr>
      <w:r>
        <w:t xml:space="preserve">12. </w:t>
      </w:r>
      <w:r>
        <w:t>Updated Medical Examiner Certificate (if expiring)</w:t>
      </w:r>
    </w:p>
    <w:p>
      <w:pPr>
        <w:pStyle w:val="ListParagraph"/>
      </w:pPr>
      <w:r>
        <w:t xml:space="preserve">13. </w:t>
      </w:r>
      <w:r>
        <w:t>Annual Clearinghouse limited query</w:t>
      </w:r>
    </w:p>
    <w:p/>
    <w:p>
      <w:r/>
      <w:r>
        <w:rPr>
          <w:b/>
        </w:rPr>
        <w:t>Retention Requirements:</w:t>
      </w:r>
      <w:r/>
    </w:p>
    <w:p>
      <w:pPr>
        <w:pStyle w:val="ListParagraph"/>
      </w:pPr>
      <w:r>
        <w:t>Active driver files: Duration of employment + 3 years</w:t>
      </w:r>
    </w:p>
    <w:p>
      <w:pPr>
        <w:pStyle w:val="ListParagraph"/>
      </w:pPr>
      <w:r>
        <w:t>Terminated driver files: 3 years after termination</w:t>
      </w:r>
    </w:p>
    <w:p/>
    <w:p>
      <w:pPr>
        <w:pStyle w:val="Heading2"/>
      </w:pPr>
      <w:r>
        <w:t>6.2 Hours of Service Rules (2025 Current Standards)</w:t>
      </w:r>
    </w:p>
    <w:p/>
    <w:p>
      <w:r/>
      <w:r>
        <w:rPr>
          <w:b/>
        </w:rPr>
        <w:t>Property-Carrying Drivers:</w:t>
      </w:r>
      <w:r/>
    </w:p>
    <w:p>
      <w:pPr>
        <w:pStyle w:val="ListParagraph"/>
      </w:pPr>
      <w:r>
        <w:t>11-Hour Driving Limit: May drive maximum 11 hours after 10 consecutive hours off duty</w:t>
      </w:r>
    </w:p>
    <w:p>
      <w:pPr>
        <w:pStyle w:val="ListParagraph"/>
      </w:pPr>
      <w:r>
        <w:t>14-Hour On-Duty Limit: May not drive beyond 14th consecutive hour after coming on duty</w:t>
      </w:r>
    </w:p>
    <w:p>
      <w:pPr>
        <w:pStyle w:val="ListParagraph"/>
      </w:pPr>
      <w:r>
        <w:t>30-Minute Break: Required after 8 cumulative hours of driving without 30-minute break</w:t>
      </w:r>
    </w:p>
    <w:p>
      <w:pPr>
        <w:pStyle w:val="ListParagraph"/>
      </w:pPr>
      <w:r>
        <w:t>60/70-Hour Limit: May not drive after 60/70 hours on duty in 7/8 consecutive days</w:t>
      </w:r>
    </w:p>
    <w:p>
      <w:pPr>
        <w:pStyle w:val="ListParagraph"/>
      </w:pPr>
      <w:r>
        <w:t>Sleeper Berth Provision: Can split required 10-hour off-duty into 8/2 split</w:t>
      </w:r>
    </w:p>
    <w:p/>
    <w:p>
      <w:r/>
      <w:r>
        <w:rPr>
          <w:b/>
        </w:rPr>
        <w:t>Short-Haul Exception:</w:t>
      </w:r>
      <w:r/>
    </w:p>
    <w:p>
      <w:r>
        <w:t>Drivers operating within 150 air-mile radius are exempt from:</w:t>
      </w:r>
    </w:p>
    <w:p>
      <w:pPr>
        <w:pStyle w:val="ListParagraph"/>
      </w:pPr>
      <w:r>
        <w:t>30-minute break requirement</w:t>
      </w:r>
    </w:p>
    <w:p>
      <w:pPr>
        <w:pStyle w:val="ListParagraph"/>
      </w:pPr>
      <w:r>
        <w:t>ELD requirement (paper logs permitted)</w:t>
      </w:r>
    </w:p>
    <w:p>
      <w:pPr>
        <w:pStyle w:val="ListParagraph"/>
      </w:pPr>
      <w:r>
        <w:t>Must return to reporting location within 14 hours</w:t>
      </w:r>
    </w:p>
    <w:p/>
    <w:p>
      <w:r>
        <w:t>---</w:t>
      </w:r>
    </w:p>
    <w:p/>
    <w:p>
      <w:pPr>
        <w:pStyle w:val="Heading1"/>
      </w:pPr>
      <w:r>
        <w:t>SECTION 7: DIGITAL PLATFORM COMPLIANCE &amp; TECHNOLOGY</w:t>
      </w:r>
    </w:p>
    <w:p/>
    <w:p>
      <w:pPr>
        <w:pStyle w:val="Heading2"/>
      </w:pPr>
      <w:r>
        <w:t>7.1 Transportation Management System (TMS) Requirements</w:t>
      </w:r>
    </w:p>
    <w:p/>
    <w:p>
      <w:r>
        <w:t>A compliant TMS implementation for mid-market logistics must provide:</w:t>
      </w:r>
    </w:p>
    <w:p/>
    <w:p>
      <w:r/>
      <w:r>
        <w:rPr>
          <w:b/>
        </w:rPr>
        <w:t>Core Compliance Features:</w:t>
      </w:r>
      <w:r/>
    </w:p>
    <w:p>
      <w:pPr>
        <w:pStyle w:val="ListParagraph"/>
      </w:pPr>
      <w:r>
        <w:t>Automated carrier vetting (real-time SAFER API integration)</w:t>
      </w:r>
    </w:p>
    <w:p>
      <w:pPr>
        <w:pStyle w:val="ListParagraph"/>
      </w:pPr>
      <w:r>
        <w:t>Insurance expiration monitoring with automated alerts</w:t>
      </w:r>
    </w:p>
    <w:p>
      <w:pPr>
        <w:pStyle w:val="ListParagraph"/>
      </w:pPr>
      <w:r>
        <w:t>ELD data integration for HOS monitoring</w:t>
      </w:r>
    </w:p>
    <w:p>
      <w:pPr>
        <w:pStyle w:val="ListParagraph"/>
      </w:pPr>
      <w:r>
        <w:t>Digital document management (BOL, POD, invoices)</w:t>
      </w:r>
    </w:p>
    <w:p>
      <w:pPr>
        <w:pStyle w:val="ListParagraph"/>
      </w:pPr>
      <w:r>
        <w:t>Audit trail for all load transactions</w:t>
      </w:r>
    </w:p>
    <w:p/>
    <w:p>
      <w:r/>
      <w:r>
        <w:rPr>
          <w:b/>
        </w:rPr>
        <w:t>Recommended TMS Platforms by Company Size:</w:t>
      </w:r>
      <w:r/>
    </w:p>
    <w:p>
      <w:r>
        <w:t>| Company Size | Recommended Platform | Annual Cost Range |</w:t>
      </w:r>
    </w:p>
    <w:p>
      <w:r>
        <w:t>|---|---|---|</w:t>
      </w:r>
    </w:p>
    <w:p>
      <w:r>
        <w:t>| SMB (&lt;$25M revenue) | Tailwind TMS, AscendTMS | $2,400–$18,000 |</w:t>
      </w:r>
    </w:p>
    <w:p>
      <w:r>
        <w:t>| Mid-Market ($25M–$100M) | McLeod, TMW Suite, Aljex | $25,000–$150,000 |</w:t>
      </w:r>
    </w:p>
    <w:p>
      <w:r>
        <w:t>| Enterprise ($100M+) | Oracle TMS, SAP TM, MercuryGate | $200,000–$2M+ |</w:t>
      </w:r>
    </w:p>
    <w:p/>
    <w:p>
      <w:pPr>
        <w:pStyle w:val="Heading2"/>
      </w:pPr>
      <w:r>
        <w:t>7.2 Cybersecurity Requirements for Logistics Operators</w:t>
      </w:r>
    </w:p>
    <w:p/>
    <w:p>
      <w:r>
        <w:t>The logistics industry has become a primary target for ransomware and data theft:</w:t>
      </w:r>
    </w:p>
    <w:p/>
    <w:p>
      <w:r/>
      <w:r>
        <w:rPr>
          <w:b/>
        </w:rPr>
        <w:t>Notable 2024 Incidents:</w:t>
      </w:r>
      <w:r/>
    </w:p>
    <w:p>
      <w:pPr>
        <w:pStyle w:val="ListParagraph"/>
      </w:pPr>
      <w:r>
        <w:t>Average ransomware demand targeting logistics firms: $2.8M</w:t>
      </w:r>
    </w:p>
    <w:p>
      <w:pPr>
        <w:pStyle w:val="ListParagraph"/>
      </w:pPr>
      <w:r>
        <w:t>Average downtime from ransomware attack: 21 days</w:t>
      </w:r>
    </w:p>
    <w:p>
      <w:pPr>
        <w:pStyle w:val="ListParagraph"/>
      </w:pPr>
      <w:r>
        <w:t>Cost of data breach in transportation sector: $4.7M average</w:t>
      </w:r>
    </w:p>
    <w:p/>
    <w:p>
      <w:r/>
      <w:r>
        <w:rPr>
          <w:b/>
        </w:rPr>
        <w:t>Required Security Controls for 2025:</w:t>
      </w:r>
      <w:r/>
    </w:p>
    <w:p>
      <w:pPr>
        <w:pStyle w:val="ListParagraph"/>
      </w:pPr>
      <w:r>
        <w:t xml:space="preserve">1. </w:t>
      </w:r>
      <w:r>
        <w:t>Multi-factor authentication on all systems</w:t>
      </w:r>
    </w:p>
    <w:p>
      <w:pPr>
        <w:pStyle w:val="ListParagraph"/>
      </w:pPr>
      <w:r>
        <w:t xml:space="preserve">2. </w:t>
      </w:r>
      <w:r>
        <w:t>Encrypted EDI communications (AS2 protocol minimum)</w:t>
      </w:r>
    </w:p>
    <w:p>
      <w:pPr>
        <w:pStyle w:val="ListParagraph"/>
      </w:pPr>
      <w:r>
        <w:t xml:space="preserve">3. </w:t>
      </w:r>
      <w:r>
        <w:t>VPN for all remote driver/dispatcher connections</w:t>
      </w:r>
    </w:p>
    <w:p>
      <w:pPr>
        <w:pStyle w:val="ListParagraph"/>
      </w:pPr>
      <w:r>
        <w:t xml:space="preserve">4. </w:t>
      </w:r>
      <w:r>
        <w:t>Regular penetration testing (quarterly recommended)</w:t>
      </w:r>
    </w:p>
    <w:p>
      <w:pPr>
        <w:pStyle w:val="ListParagraph"/>
      </w:pPr>
      <w:r>
        <w:t xml:space="preserve">5. </w:t>
      </w:r>
      <w:r>
        <w:t>Cyber liability insurance: $1M minimum coverage</w:t>
      </w:r>
    </w:p>
    <w:p>
      <w:pPr>
        <w:pStyle w:val="ListParagraph"/>
      </w:pPr>
      <w:r>
        <w:t xml:space="preserve">6. </w:t>
      </w:r>
      <w:r>
        <w:t>Incident response plan with &lt;4 hour activation SLA</w:t>
      </w:r>
    </w:p>
    <w:p>
      <w:pPr>
        <w:pStyle w:val="ListParagraph"/>
      </w:pPr>
      <w:r>
        <w:t xml:space="preserve">7. </w:t>
      </w:r>
      <w:r>
        <w:t>Employee security awareness training: Annual minimum</w:t>
      </w:r>
    </w:p>
    <w:p/>
    <w:p>
      <w:r>
        <w:t>---</w:t>
      </w:r>
    </w:p>
    <w:p/>
    <w:p>
      <w:pPr>
        <w:pStyle w:val="Heading1"/>
      </w:pPr>
      <w:r>
        <w:t>SECTION 8: IMPLEMENTATION ROADMAP</w:t>
      </w:r>
    </w:p>
    <w:p/>
    <w:p>
      <w:pPr>
        <w:pStyle w:val="Heading2"/>
      </w:pPr>
      <w:r>
        <w:t>8.1 90-Day Compliance Onboarding Implementation Plan</w:t>
      </w:r>
    </w:p>
    <w:p/>
    <w:p>
      <w:r/>
      <w:r>
        <w:rPr>
          <w:b/>
        </w:rPr>
        <w:t>Days 1–30: Foundation</w:t>
      </w:r>
      <w:r/>
    </w:p>
    <w:p>
      <w:pPr>
        <w:pStyle w:val="ListParagraph"/>
      </w:pPr>
      <w:r>
        <w:t>Week 1: Audit existing documentation against this report's checklist</w:t>
      </w:r>
    </w:p>
    <w:p>
      <w:pPr>
        <w:pStyle w:val="ListParagraph"/>
      </w:pPr>
      <w:r>
        <w:t>Week 2: Identify gaps and assign remediation owners</w:t>
      </w:r>
    </w:p>
    <w:p>
      <w:pPr>
        <w:pStyle w:val="ListParagraph"/>
      </w:pPr>
      <w:r>
        <w:t>Week 3: File/update all FMCSA registrations (DOT, MC, UCR)</w:t>
      </w:r>
    </w:p>
    <w:p>
      <w:pPr>
        <w:pStyle w:val="ListParagraph"/>
      </w:pPr>
      <w:r>
        <w:t>Week 4: Implement carrier vetting workflow using SAFER API</w:t>
      </w:r>
    </w:p>
    <w:p/>
    <w:p>
      <w:r/>
      <w:r>
        <w:rPr>
          <w:b/>
        </w:rPr>
        <w:t>Days 31–60: Documentation Build</w:t>
      </w:r>
      <w:r/>
    </w:p>
    <w:p>
      <w:pPr>
        <w:pStyle w:val="ListParagraph"/>
      </w:pPr>
      <w:r>
        <w:t>Week 5–6: Build DQ file templates and driver onboarding process</w:t>
      </w:r>
    </w:p>
    <w:p>
      <w:pPr>
        <w:pStyle w:val="ListParagraph"/>
      </w:pPr>
      <w:r>
        <w:t>Week 7: Implement ELD provider integration and HOS monitoring</w:t>
      </w:r>
    </w:p>
    <w:p>
      <w:pPr>
        <w:pStyle w:val="ListParagraph"/>
      </w:pPr>
      <w:r>
        <w:t>Week 8: Draft/update Broker-Carrier Agreement templates</w:t>
      </w:r>
    </w:p>
    <w:p/>
    <w:p>
      <w:r/>
      <w:r>
        <w:rPr>
          <w:b/>
        </w:rPr>
        <w:t>Days 61–90: Technology &amp; Training</w:t>
      </w:r>
      <w:r/>
    </w:p>
    <w:p>
      <w:pPr>
        <w:pStyle w:val="ListParagraph"/>
      </w:pPr>
      <w:r>
        <w:t>Week 9–10: Deploy TMS with compliance module</w:t>
      </w:r>
    </w:p>
    <w:p>
      <w:pPr>
        <w:pStyle w:val="ListParagraph"/>
      </w:pPr>
      <w:r>
        <w:t>Week 11: Complete all hazmat training and documentation</w:t>
      </w:r>
    </w:p>
    <w:p>
      <w:pPr>
        <w:pStyle w:val="ListParagraph"/>
      </w:pPr>
      <w:r>
        <w:t>Week 12: Full compliance audit — ready for FMCSA review</w:t>
      </w:r>
    </w:p>
    <w:p/>
    <w:p>
      <w:pPr>
        <w:pStyle w:val="Heading2"/>
      </w:pPr>
      <w:r>
        <w:t>8.2 Key Performance Indicators to Track</w:t>
      </w:r>
    </w:p>
    <w:p/>
    <w:p>
      <w:r>
        <w:t>| KPI | Target | Measurement Frequency |</w:t>
      </w:r>
    </w:p>
    <w:p>
      <w:r>
        <w:t>|---|---|---|</w:t>
      </w:r>
    </w:p>
    <w:p>
      <w:r>
        <w:t>| Carrier onboarding completion rate | &gt;95% | Weekly |</w:t>
      </w:r>
    </w:p>
    <w:p>
      <w:r>
        <w:t>| Insurance expiration alerts actioned | 100% within 48hrs | Weekly |</w:t>
      </w:r>
    </w:p>
    <w:p>
      <w:r>
        <w:t>| SMS BASIC scores monitored | 100% of active carriers | Monthly |</w:t>
      </w:r>
    </w:p>
    <w:p>
      <w:r>
        <w:t>| Driver DQ file compliance rate | 100% | Monthly |</w:t>
      </w:r>
    </w:p>
    <w:p>
      <w:r>
        <w:t>| Incident/violation rate | 0 FMCSA violations | Quarterly |</w:t>
      </w:r>
    </w:p>
    <w:p>
      <w:r>
        <w:t>| Double brokering incidents | 0 | Monthly |</w:t>
      </w:r>
    </w:p>
    <w:p>
      <w:r>
        <w:t>| Compliance cost as % of revenue | &lt;0.5% | Quarterly |</w:t>
      </w:r>
    </w:p>
    <w:p/>
    <w:p>
      <w:r>
        <w:t>---</w:t>
      </w:r>
    </w:p>
    <w:p/>
    <w:p>
      <w:pPr>
        <w:pStyle w:val="Heading1"/>
      </w:pPr>
      <w:r>
        <w:t>SECTION 9: COST-BENEFIT ANALYSIS</w:t>
      </w:r>
    </w:p>
    <w:p/>
    <w:p>
      <w:pPr>
        <w:pStyle w:val="Heading2"/>
      </w:pPr>
      <w:r>
        <w:t>9.1 The ROI of Structured Compliance</w:t>
      </w:r>
    </w:p>
    <w:p/>
    <w:p>
      <w:r/>
      <w:r>
        <w:rPr>
          <w:b/>
        </w:rPr>
        <w:t>Cost of Non-Compliance (Annual Risk Exposure):</w:t>
      </w:r>
      <w:r/>
    </w:p>
    <w:p>
      <w:pPr>
        <w:pStyle w:val="ListParagraph"/>
      </w:pPr>
      <w:r>
        <w:t>FMCSA violations: $16,000–$91,000 per incident</w:t>
      </w:r>
    </w:p>
    <w:p>
      <w:pPr>
        <w:pStyle w:val="ListParagraph"/>
      </w:pPr>
      <w:r>
        <w:t>Cargo claim losses (uninsured): $17,000 average</w:t>
      </w:r>
    </w:p>
    <w:p>
      <w:pPr>
        <w:pStyle w:val="ListParagraph"/>
      </w:pPr>
      <w:r>
        <w:t>Double brokering fraud loss: $17,000 per incident</w:t>
      </w:r>
    </w:p>
    <w:p>
      <w:pPr>
        <w:pStyle w:val="ListParagraph"/>
      </w:pPr>
      <w:r>
        <w:t>Ransomware attack: $2.8M average demand</w:t>
      </w:r>
    </w:p>
    <w:p>
      <w:pPr>
        <w:pStyle w:val="ListParagraph"/>
      </w:pPr>
      <w:r>
        <w:t>Authority suspension (revenue loss): $50,000–$500,000 per week</w:t>
      </w:r>
    </w:p>
    <w:p>
      <w:pPr>
        <w:pStyle w:val="ListParagraph"/>
      </w:pPr>
      <w:r>
        <w:t>Total annual risk exposure (mid-market operator): $500,000–$3.5M</w:t>
      </w:r>
    </w:p>
    <w:p/>
    <w:p>
      <w:r/>
      <w:r>
        <w:rPr>
          <w:b/>
        </w:rPr>
        <w:t>Cost of Structured Compliance Program:</w:t>
      </w:r>
      <w:r/>
    </w:p>
    <w:p>
      <w:pPr>
        <w:pStyle w:val="ListParagraph"/>
      </w:pPr>
      <w:r>
        <w:t>Documentation and templates: $15,000–$45,000 one-time</w:t>
      </w:r>
    </w:p>
    <w:p>
      <w:pPr>
        <w:pStyle w:val="ListParagraph"/>
      </w:pPr>
      <w:r>
        <w:t>Annual compliance monitoring: $25,000–$75,000</w:t>
      </w:r>
    </w:p>
    <w:p>
      <w:pPr>
        <w:pStyle w:val="ListParagraph"/>
      </w:pPr>
      <w:r>
        <w:t>TMS with compliance module: $25,000–$150,000/year</w:t>
      </w:r>
    </w:p>
    <w:p>
      <w:pPr>
        <w:pStyle w:val="ListParagraph"/>
      </w:pPr>
      <w:r>
        <w:t>Total annual compliance investment: $65,000–$270,000</w:t>
      </w:r>
    </w:p>
    <w:p/>
    <w:p>
      <w:r/>
      <w:r>
        <w:rPr>
          <w:b/>
        </w:rPr>
        <w:t>ROI Calculation:</w:t>
      </w:r>
      <w:r/>
    </w:p>
    <w:p>
      <w:pPr>
        <w:pStyle w:val="ListParagraph"/>
      </w:pPr>
      <w:r>
        <w:t>Risk reduction value: $500,000–$3.5M</w:t>
      </w:r>
    </w:p>
    <w:p>
      <w:pPr>
        <w:pStyle w:val="ListParagraph"/>
      </w:pPr>
      <w:r>
        <w:t>Compliance investment: $65,000–$270,000</w:t>
      </w:r>
    </w:p>
    <w:p>
      <w:pPr>
        <w:pStyle w:val="ListParagraph"/>
      </w:pPr>
      <w:r/>
      <w:r>
        <w:rPr>
          <w:b/>
        </w:rPr>
        <w:t>Net benefit: $430,000–$3.23M annually</w:t>
      </w:r>
      <w:r/>
    </w:p>
    <w:p>
      <w:pPr>
        <w:pStyle w:val="ListParagraph"/>
      </w:pPr>
      <w:r/>
      <w:r>
        <w:rPr>
          <w:b/>
        </w:rPr>
        <w:t>ROI: 560%–1,190%</w:t>
      </w:r>
      <w:r/>
    </w:p>
    <w:p/>
    <w:p>
      <w:r>
        <w:t>---</w:t>
      </w:r>
    </w:p>
    <w:p/>
    <w:p>
      <w:pPr>
        <w:pStyle w:val="Heading1"/>
      </w:pPr>
      <w:r>
        <w:t>SECTION 10: GLOSSARY OF KEY TERMS</w:t>
      </w:r>
    </w:p>
    <w:p/>
    <w:p>
      <w:r/>
      <w:r>
        <w:rPr>
          <w:b/>
        </w:rPr>
        <w:t>BASIC:</w:t>
      </w:r>
      <w:r>
        <w:t xml:space="preserve"> Behavior Analysis and Safety Improvement Category — one of 7 safety categories scored by FMCSA</w:t>
      </w:r>
    </w:p>
    <w:p>
      <w:r/>
      <w:r>
        <w:rPr>
          <w:b/>
        </w:rPr>
        <w:t>BOC-3:</w:t>
      </w:r>
      <w:r>
        <w:t xml:space="preserve"> Form designating process agents in all states for FMCSA-registered entities</w:t>
      </w:r>
    </w:p>
    <w:p>
      <w:r/>
      <w:r>
        <w:rPr>
          <w:b/>
        </w:rPr>
        <w:t>BCA:</w:t>
      </w:r>
      <w:r>
        <w:t xml:space="preserve"> Broker-Carrier Agreement — contractual agreement between freight broker and motor carrier</w:t>
      </w:r>
    </w:p>
    <w:p>
      <w:r/>
      <w:r>
        <w:rPr>
          <w:b/>
        </w:rPr>
        <w:t>CDL:</w:t>
      </w:r>
      <w:r>
        <w:t xml:space="preserve"> Commercial Driver License — required for vehicles over 26,001 lbs GVWR</w:t>
      </w:r>
    </w:p>
    <w:p>
      <w:r/>
      <w:r>
        <w:rPr>
          <w:b/>
        </w:rPr>
        <w:t>COI:</w:t>
      </w:r>
      <w:r>
        <w:t xml:space="preserve"> Certificate of Insurance — proof of current insurance coverage</w:t>
      </w:r>
    </w:p>
    <w:p>
      <w:r/>
      <w:r>
        <w:rPr>
          <w:b/>
        </w:rPr>
        <w:t>CTPAT:</w:t>
      </w:r>
      <w:r>
        <w:t xml:space="preserve"> Customs-Trade Partnership Against Terrorism — voluntary CBP supply chain security program</w:t>
      </w:r>
    </w:p>
    <w:p>
      <w:r/>
      <w:r>
        <w:rPr>
          <w:b/>
        </w:rPr>
        <w:t>DOT:</w:t>
      </w:r>
      <w:r>
        <w:t xml:space="preserve"> Department of Transportation — federal agency overseeing transportation safety</w:t>
      </w:r>
    </w:p>
    <w:p>
      <w:r/>
      <w:r>
        <w:rPr>
          <w:b/>
        </w:rPr>
        <w:t>DQ File:</w:t>
      </w:r>
      <w:r>
        <w:t xml:space="preserve"> Driver Qualification File — federally required records for each CDL driver</w:t>
      </w:r>
    </w:p>
    <w:p>
      <w:r/>
      <w:r>
        <w:rPr>
          <w:b/>
        </w:rPr>
        <w:t>EDI:</w:t>
      </w:r>
      <w:r>
        <w:t xml:space="preserve"> Electronic Data Interchange — standardized digital document exchange format</w:t>
      </w:r>
    </w:p>
    <w:p>
      <w:r/>
      <w:r>
        <w:rPr>
          <w:b/>
        </w:rPr>
        <w:t>ELD:</w:t>
      </w:r>
      <w:r>
        <w:t xml:space="preserve"> Electronic Logging Device — federally mandated device recording HOS</w:t>
      </w:r>
    </w:p>
    <w:p>
      <w:r/>
      <w:r>
        <w:rPr>
          <w:b/>
        </w:rPr>
        <w:t>FEIN:</w:t>
      </w:r>
      <w:r>
        <w:t xml:space="preserve"> Federal Employer Identification Number — IRS-assigned business tax ID</w:t>
      </w:r>
    </w:p>
    <w:p>
      <w:r/>
      <w:r>
        <w:rPr>
          <w:b/>
        </w:rPr>
        <w:t>FMCSA:</w:t>
      </w:r>
      <w:r>
        <w:t xml:space="preserve"> Federal Motor Carrier Safety Administration — primary federal trucking regulator</w:t>
      </w:r>
    </w:p>
    <w:p>
      <w:r/>
      <w:r>
        <w:rPr>
          <w:b/>
        </w:rPr>
        <w:t>HOS:</w:t>
      </w:r>
      <w:r>
        <w:t xml:space="preserve"> Hours of Service — federal regulations governing driving time</w:t>
      </w:r>
    </w:p>
    <w:p>
      <w:r/>
      <w:r>
        <w:rPr>
          <w:b/>
        </w:rPr>
        <w:t>IFTA:</w:t>
      </w:r>
      <w:r>
        <w:t xml:space="preserve"> International Fuel Tax Agreement — fuel tax apportionment for multi-state operators</w:t>
      </w:r>
    </w:p>
    <w:p>
      <w:r/>
      <w:r>
        <w:rPr>
          <w:b/>
        </w:rPr>
        <w:t>IRP:</w:t>
      </w:r>
      <w:r>
        <w:t xml:space="preserve"> International Registration Plan — vehicle registration apportionment for multi-state operation</w:t>
      </w:r>
    </w:p>
    <w:p>
      <w:r/>
      <w:r>
        <w:rPr>
          <w:b/>
        </w:rPr>
        <w:t>LTL:</w:t>
      </w:r>
      <w:r>
        <w:t xml:space="preserve"> Less-than-Truckload — freight service for shipments not requiring full trailer</w:t>
      </w:r>
    </w:p>
    <w:p>
      <w:r/>
      <w:r>
        <w:rPr>
          <w:b/>
        </w:rPr>
        <w:t>MC Number:</w:t>
      </w:r>
      <w:r>
        <w:t xml:space="preserve"> Motor Carrier Number — FMCSA-issued operating authority number</w:t>
      </w:r>
    </w:p>
    <w:p>
      <w:r/>
      <w:r>
        <w:rPr>
          <w:b/>
        </w:rPr>
        <w:t>MCS-150:</w:t>
      </w:r>
      <w:r>
        <w:t xml:space="preserve"> FMCSA form for DOT number registration and updates</w:t>
      </w:r>
    </w:p>
    <w:p>
      <w:r/>
      <w:r>
        <w:rPr>
          <w:b/>
        </w:rPr>
        <w:t>MVR:</w:t>
      </w:r>
      <w:r>
        <w:t xml:space="preserve"> Motor Vehicle Record — official state driving history for a licensed driver</w:t>
      </w:r>
    </w:p>
    <w:p>
      <w:r/>
      <w:r>
        <w:rPr>
          <w:b/>
        </w:rPr>
        <w:t>OOS:</w:t>
      </w:r>
      <w:r>
        <w:t xml:space="preserve"> Out-of-Service — designation when vehicle or driver is placed out of service during inspection</w:t>
      </w:r>
    </w:p>
    <w:p>
      <w:r/>
      <w:r>
        <w:rPr>
          <w:b/>
        </w:rPr>
        <w:t>SAFER:</w:t>
      </w:r>
      <w:r>
        <w:t xml:space="preserve"> Safety and Fitness Electronic Records — FMCSA's primary carrier data system</w:t>
      </w:r>
    </w:p>
    <w:p>
      <w:r/>
      <w:r>
        <w:rPr>
          <w:b/>
        </w:rPr>
        <w:t>SFD:</w:t>
      </w:r>
      <w:r>
        <w:t xml:space="preserve"> Safety Fitness Determination — FMCSA's carrier safety fitness rating methodology</w:t>
      </w:r>
    </w:p>
    <w:p>
      <w:r/>
      <w:r>
        <w:rPr>
          <w:b/>
        </w:rPr>
        <w:t>SMS:</w:t>
      </w:r>
      <w:r>
        <w:t xml:space="preserve"> Safety Measurement System — FMCSA's system for monitoring carrier safety performance</w:t>
      </w:r>
    </w:p>
    <w:p>
      <w:r/>
      <w:r>
        <w:rPr>
          <w:b/>
        </w:rPr>
        <w:t>TL:</w:t>
      </w:r>
      <w:r>
        <w:t xml:space="preserve"> Truckload — freight service utilizing a full trailer for a single shipper's freight</w:t>
      </w:r>
    </w:p>
    <w:p>
      <w:r/>
      <w:r>
        <w:rPr>
          <w:b/>
        </w:rPr>
        <w:t>TMS:</w:t>
      </w:r>
      <w:r>
        <w:t xml:space="preserve"> Transportation Management System — software platform managing freight operations</w:t>
      </w:r>
    </w:p>
    <w:p>
      <w:r/>
      <w:r>
        <w:rPr>
          <w:b/>
        </w:rPr>
        <w:t>UCR:</w:t>
      </w:r>
      <w:r>
        <w:t xml:space="preserve"> Unified Carrier Registration — annual federal registration for interstate carriers</w:t>
      </w:r>
    </w:p>
    <w:p/>
    <w:p>
      <w:r>
        <w:t>---</w:t>
      </w:r>
    </w:p>
    <w:p/>
    <w:p>
      <w:pPr>
        <w:pStyle w:val="Heading1"/>
      </w:pPr>
      <w:r>
        <w:t>APPENDIX A: COMPLIANCE RESOURCE DIRECTORY</w:t>
      </w:r>
    </w:p>
    <w:p/>
    <w:p>
      <w:r/>
      <w:r>
        <w:rPr>
          <w:b/>
        </w:rPr>
        <w:t>Federal Agencies:</w:t>
      </w:r>
      <w:r/>
    </w:p>
    <w:p>
      <w:pPr>
        <w:pStyle w:val="ListParagraph"/>
      </w:pPr>
      <w:r>
        <w:t>FMCSA: fmcsa.dot.gov</w:t>
      </w:r>
    </w:p>
    <w:p>
      <w:pPr>
        <w:pStyle w:val="ListParagraph"/>
      </w:pPr>
      <w:r>
        <w:t>DOT: transportation.gov</w:t>
      </w:r>
    </w:p>
    <w:p>
      <w:pPr>
        <w:pStyle w:val="ListParagraph"/>
      </w:pPr>
      <w:r>
        <w:t>PHMSA (Hazmat): phmsa.dot.gov</w:t>
      </w:r>
    </w:p>
    <w:p>
      <w:pPr>
        <w:pStyle w:val="ListParagraph"/>
      </w:pPr>
      <w:r>
        <w:t>CBP (Customs): cbp.gov</w:t>
      </w:r>
    </w:p>
    <w:p/>
    <w:p>
      <w:r/>
      <w:r>
        <w:rPr>
          <w:b/>
        </w:rPr>
        <w:t>Compliance Verification Tools:</w:t>
      </w:r>
      <w:r/>
    </w:p>
    <w:p>
      <w:pPr>
        <w:pStyle w:val="ListParagraph"/>
      </w:pPr>
      <w:r>
        <w:t>FMCSA SAFER System: safer.fmcsa.dot.gov</w:t>
      </w:r>
    </w:p>
    <w:p>
      <w:pPr>
        <w:pStyle w:val="ListParagraph"/>
      </w:pPr>
      <w:r>
        <w:t>FMCSA Licensing &amp; Insurance: li.fmcsa.dot.gov</w:t>
      </w:r>
    </w:p>
    <w:p>
      <w:pPr>
        <w:pStyle w:val="ListParagraph"/>
      </w:pPr>
      <w:r>
        <w:t>Drug &amp; Alcohol Clearinghouse: clearinghouse.fmcsa.dot.gov</w:t>
      </w:r>
    </w:p>
    <w:p>
      <w:pPr>
        <w:pStyle w:val="ListParagraph"/>
      </w:pPr>
      <w:r>
        <w:t>UCR Registration: ucr.gov</w:t>
      </w:r>
    </w:p>
    <w:p/>
    <w:p>
      <w:r/>
      <w:r>
        <w:rPr>
          <w:b/>
        </w:rPr>
        <w:t>Industry Associations:</w:t>
      </w:r>
      <w:r/>
    </w:p>
    <w:p>
      <w:pPr>
        <w:pStyle w:val="ListParagraph"/>
      </w:pPr>
      <w:r>
        <w:t>American Trucking Associations (ATA): trucking.org</w:t>
      </w:r>
    </w:p>
    <w:p>
      <w:pPr>
        <w:pStyle w:val="ListParagraph"/>
      </w:pPr>
      <w:r>
        <w:t>Transportation Intermediaries Association (TIA): tianet.org</w:t>
      </w:r>
    </w:p>
    <w:p>
      <w:pPr>
        <w:pStyle w:val="ListParagraph"/>
      </w:pPr>
      <w:r>
        <w:t>Intermodal Association of North America (IANA): intermodal.org</w:t>
      </w:r>
    </w:p>
    <w:p>
      <w:pPr>
        <w:pStyle w:val="ListParagraph"/>
      </w:pPr>
      <w:r>
        <w:t>Council of Supply Chain Management Professionals (CSCMP): cscmp.org</w:t>
      </w:r>
    </w:p>
    <w:p/>
    <w:p>
      <w:r>
        <w:t>---</w:t>
      </w:r>
    </w:p>
    <w:p/>
    <w:p>
      <w:r/>
      <w:r>
        <w:rPr>
          <w:i/>
        </w:rPr>
        <w:t>This report is prepared for informational and business development purposes. All regulatory citations reflect current federal standards as of Q2 2025. Recipients should consult qualified legal and compliance counsel before implementing any compliance program. NexusLogix Advisory Group provides no warranty as to the completeness or accuracy of regulatory information contained herein.</w:t>
      </w:r>
      <w:r/>
    </w:p>
    <w:p/>
    <w:p>
      <w:r/>
      <w:r>
        <w:rPr>
          <w:i/>
        </w:rPr>
        <w:t>© 2025 NexusLogix Advisory Group. All rights reserved. Reproduction without written permission is prohibited.</w:t>
      </w:r>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C3E5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Calibri" w:hAnsi="Calibri"/>
      <w:b/>
      <w:color w:val="2C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Calibri" w:hAnsi="Calibri"/>
      <w:i/>
      <w:color w:val="34495E"/>
      <w:sz w:val="28"/>
    </w:rPr>
  </w:style>
  <w:style w:type="paragraph" w:customStyle="1" w:styleId="ImageCaption">
    <w:name w:val="Image Caption"/>
    <w:pPr>
      <w:spacing w:before="120" w:after="240"/>
      <w:jc w:val="center"/>
    </w:pPr>
    <w:rPr>
      <w:rFonts w:ascii="Calibri" w:hAnsi="Calibri"/>
      <w:i/>
      <w:color w:val="666666"/>
      <w:sz w:val="18"/>
    </w:rPr>
  </w:style>
  <w:style w:type="paragraph" w:customStyle="1" w:styleId="BookQuote">
    <w:name w:val="Book Quote"/>
    <w:pPr>
      <w:spacing w:before="240" w:after="240"/>
      <w:ind w:left="720" w:right="720"/>
      <w:jc w:val="center"/>
    </w:pPr>
    <w:rPr>
      <w:rFonts w:ascii="Calibri" w:hAnsi="Calibri"/>
      <w:i/>
      <w:color w:val="66666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