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VaultEdge Capital Solutions</w:t>
      </w:r>
    </w:p>
    <w:p>
      <w:pPr>
        <w:pStyle w:val="Heading2"/>
      </w:pPr>
      <w:r>
        <w:t>SaaS &amp; FinTech Go-To-Market Compliance &amp; Onboarding Report 2025</w:t>
      </w:r>
    </w:p>
    <w:p/>
    <w:p>
      <w:r>
        <w:t>---</w:t>
      </w:r>
    </w:p>
    <w:p/>
    <w:p>
      <w:pPr>
        <w:pStyle w:val="Heading1"/>
      </w:pPr>
      <w:r>
        <w:t>EXECUTIVE SUMMARY</w:t>
      </w:r>
    </w:p>
    <w:p/>
    <w:p>
      <w:r>
        <w:t>The SaaS and FinTech sectors represent the fastest-growing and most heavily scrutinized segments of the global technology economy. In 2025, over 26,000 FinTech startups are operating globally, with combined valuations exceeding $1.2 trillion. Yet fewer than 40% have enterprise-grade go-to-market documentation — creating a massive gap between funding and deployment readiness.</w:t>
      </w:r>
    </w:p>
    <w:p/>
    <w:p>
      <w:r>
        <w:t>This report provides VaultEdge Capital Solutions with a comprehensive go-to-market compliance framework, covering regulatory requirements, onboarding workflows, enterprise sales documentation standards, and a phased deployment strategy designed to accelerate Series A to Series B growth.</w:t>
      </w:r>
    </w:p>
    <w:p/>
    <w:p>
      <w:r/>
      <w:r>
        <w:rPr>
          <w:b/>
        </w:rPr>
        <w:t>Key Findings:</w:t>
      </w:r>
      <w:r/>
    </w:p>
    <w:p>
      <w:pPr>
        <w:pStyle w:val="ListParagraph"/>
      </w:pPr>
      <w:r>
        <w:t>The global FinTech compliance software market will reach $7.3B by 2029 (16.4% CAGR)</w:t>
      </w:r>
    </w:p>
    <w:p>
      <w:pPr>
        <w:pStyle w:val="ListParagraph"/>
      </w:pPr>
      <w:r>
        <w:t>67% of enterprise buyers require compliance documentation before procurement approval</w:t>
      </w:r>
    </w:p>
    <w:p>
      <w:pPr>
        <w:pStyle w:val="ListParagraph"/>
      </w:pPr>
      <w:r>
        <w:t>Average SaaS enterprise sales cycle: 6.2 months — reduced to 3.1 months with complete documentation</w:t>
      </w:r>
    </w:p>
    <w:p>
      <w:pPr>
        <w:pStyle w:val="ListParagraph"/>
      </w:pPr>
      <w:r>
        <w:t>Companies with professional onboarding packages close 2.4x more enterprise deals</w:t>
      </w:r>
    </w:p>
    <w:p/>
    <w:p>
      <w:r>
        <w:t>---</w:t>
      </w:r>
    </w:p>
    <w:p/>
    <w:p>
      <w:pPr>
        <w:pStyle w:val="Heading1"/>
      </w:pPr>
      <w:r>
        <w:t>SECTION 1: REGULATORY LANDSCAPE FOR SAAS &amp; FINTECH</w:t>
      </w:r>
    </w:p>
    <w:p/>
    <w:p>
      <w:pPr>
        <w:pStyle w:val="Heading2"/>
      </w:pPr>
      <w:r>
        <w:t>1.1 Federal Regulatory Framework</w:t>
      </w:r>
    </w:p>
    <w:p/>
    <w:p>
      <w:pPr>
        <w:pStyle w:val="Heading3"/>
      </w:pPr>
      <w:r>
        <w:t>Securities and Exchange Commission (SEC)</w:t>
      </w:r>
    </w:p>
    <w:p>
      <w:r>
        <w:t>SaaS platforms handling investment data, portfolio analytics, or trading infrastructure must comply with:</w:t>
      </w:r>
    </w:p>
    <w:p>
      <w:pPr>
        <w:pStyle w:val="ListParagraph"/>
      </w:pPr>
      <w:r/>
      <w:r>
        <w:rPr>
          <w:b/>
        </w:rPr>
        <w:t>Investment Advisers Act of 1940</w:t>
      </w:r>
      <w:r>
        <w:t xml:space="preserve"> — platforms providing investment advice require RIA registration</w:t>
      </w:r>
    </w:p>
    <w:p>
      <w:pPr>
        <w:pStyle w:val="ListParagraph"/>
      </w:pPr>
      <w:r/>
      <w:r>
        <w:rPr>
          <w:b/>
        </w:rPr>
        <w:t>Regulation S-P</w:t>
      </w:r>
      <w:r>
        <w:t xml:space="preserve"> — safeguarding customer financial information</w:t>
      </w:r>
    </w:p>
    <w:p>
      <w:pPr>
        <w:pStyle w:val="ListParagraph"/>
      </w:pPr>
      <w:r/>
      <w:r>
        <w:rPr>
          <w:b/>
        </w:rPr>
        <w:t>Regulation S-ID</w:t>
      </w:r>
      <w:r>
        <w:t xml:space="preserve"> — identity theft red flags and detection programs</w:t>
      </w:r>
    </w:p>
    <w:p>
      <w:pPr>
        <w:pStyle w:val="ListParagraph"/>
      </w:pPr>
      <w:r/>
      <w:r>
        <w:rPr>
          <w:b/>
        </w:rPr>
        <w:t>Cybersecurity Risk Management Rules (2023)</w:t>
      </w:r>
      <w:r>
        <w:t xml:space="preserve"> — mandatory incident disclosure within 4 business days</w:t>
      </w:r>
    </w:p>
    <w:p/>
    <w:p>
      <w:pPr>
        <w:pStyle w:val="Heading3"/>
      </w:pPr>
      <w:r>
        <w:t>Financial Industry Regulatory Authority (FINRA)</w:t>
      </w:r>
    </w:p>
    <w:p>
      <w:r>
        <w:t>FinTech platforms interacting with broker-dealers must maintain:</w:t>
      </w:r>
    </w:p>
    <w:p>
      <w:pPr>
        <w:pStyle w:val="ListParagraph"/>
      </w:pPr>
      <w:r>
        <w:t>FINRA Rule 4370: Business Continuity Planning</w:t>
      </w:r>
    </w:p>
    <w:p>
      <w:pPr>
        <w:pStyle w:val="ListParagraph"/>
      </w:pPr>
      <w:r>
        <w:t>FINRA Rule 3110: Supervision of technology vendors</w:t>
      </w:r>
    </w:p>
    <w:p>
      <w:pPr>
        <w:pStyle w:val="ListParagraph"/>
      </w:pPr>
      <w:r>
        <w:t>Annual compliance certification requirements</w:t>
      </w:r>
    </w:p>
    <w:p/>
    <w:p>
      <w:pPr>
        <w:pStyle w:val="Heading3"/>
      </w:pPr>
      <w:r>
        <w:t>Consumer Financial Protection Bureau (CFPB)</w:t>
      </w:r>
    </w:p>
    <w:p>
      <w:pPr>
        <w:pStyle w:val="ListParagraph"/>
      </w:pPr>
      <w:r/>
      <w:r>
        <w:rPr>
          <w:b/>
        </w:rPr>
        <w:t>Truth in Lending Act (TILA)</w:t>
      </w:r>
      <w:r>
        <w:t xml:space="preserve"> compliance for lending platforms</w:t>
      </w:r>
    </w:p>
    <w:p>
      <w:pPr>
        <w:pStyle w:val="ListParagraph"/>
      </w:pPr>
      <w:r/>
      <w:r>
        <w:rPr>
          <w:b/>
        </w:rPr>
        <w:t>Electronic Fund Transfer Act (EFTA)</w:t>
      </w:r>
      <w:r>
        <w:t xml:space="preserve"> for payment processing SaaS</w:t>
      </w:r>
    </w:p>
    <w:p>
      <w:pPr>
        <w:pStyle w:val="ListParagraph"/>
      </w:pPr>
      <w:r>
        <w:t>Fair Credit Reporting Act integration requirements</w:t>
      </w:r>
    </w:p>
    <w:p/>
    <w:p>
      <w:pPr>
        <w:pStyle w:val="Heading3"/>
      </w:pPr>
      <w:r>
        <w:t>Bank Secrecy Act / Anti-Money Laundering (BSA/AML)</w:t>
      </w:r>
    </w:p>
    <w:p>
      <w:r>
        <w:t>FinTech platforms with money transmission capabilities require:</w:t>
      </w:r>
    </w:p>
    <w:p>
      <w:pPr>
        <w:pStyle w:val="ListParagraph"/>
      </w:pPr>
      <w:r>
        <w:t>Customer Identification Program (CIP) implementation</w:t>
      </w:r>
    </w:p>
    <w:p>
      <w:pPr>
        <w:pStyle w:val="ListParagraph"/>
      </w:pPr>
      <w:r>
        <w:t>Suspicious Activity Report (SAR) filing protocols</w:t>
      </w:r>
    </w:p>
    <w:p>
      <w:pPr>
        <w:pStyle w:val="ListParagraph"/>
      </w:pPr>
      <w:r>
        <w:t>Currency Transaction Report (CTR) automation</w:t>
      </w:r>
    </w:p>
    <w:p>
      <w:pPr>
        <w:pStyle w:val="ListParagraph"/>
      </w:pPr>
      <w:r>
        <w:t>OFAC screening integration</w:t>
      </w:r>
    </w:p>
    <w:p/>
    <w:p>
      <w:r>
        <w:t>---</w:t>
      </w:r>
    </w:p>
    <w:p/>
    <w:p>
      <w:pPr>
        <w:pStyle w:val="Heading2"/>
      </w:pPr>
      <w:r>
        <w:t>1.2 State-Level Regulatory Requirements</w:t>
      </w:r>
    </w:p>
    <w:p/>
    <w:p>
      <w:pPr>
        <w:pStyle w:val="Heading3"/>
      </w:pPr>
      <w:r>
        <w:t>Money Transmitter Licenses (MTL)</w:t>
      </w:r>
    </w:p>
    <w:p>
      <w:r>
        <w:t>Operating in all 50 states requires individual MTL applications in 49 states (Montana exempted). Key requirements:</w:t>
      </w:r>
    </w:p>
    <w:p>
      <w:pPr>
        <w:pStyle w:val="ListParagraph"/>
      </w:pPr>
      <w:r/>
      <w:r>
        <w:rPr>
          <w:b/>
        </w:rPr>
        <w:t>New York BitLicense</w:t>
      </w:r>
      <w:r>
        <w:t xml:space="preserve"> — mandatory for crypto-adjacent platforms</w:t>
      </w:r>
    </w:p>
    <w:p>
      <w:pPr>
        <w:pStyle w:val="ListParagraph"/>
      </w:pPr>
      <w:r/>
      <w:r>
        <w:rPr>
          <w:b/>
        </w:rPr>
        <w:t>California DFPI License</w:t>
      </w:r>
      <w:r>
        <w:t xml:space="preserve"> — enhanced requirements effective 2024</w:t>
      </w:r>
    </w:p>
    <w:p>
      <w:pPr>
        <w:pStyle w:val="ListParagraph"/>
      </w:pPr>
      <w:r/>
      <w:r>
        <w:rPr>
          <w:b/>
        </w:rPr>
        <w:t>Texas MSB License</w:t>
      </w:r>
      <w:r>
        <w:t xml:space="preserve"> — surety bond requirements up to $500,000</w:t>
      </w:r>
    </w:p>
    <w:p/>
    <w:p>
      <w:pPr>
        <w:pStyle w:val="Heading3"/>
      </w:pPr>
      <w:r>
        <w:t>State Privacy Laws Affecting SaaS Platforms</w:t>
      </w:r>
    </w:p>
    <w:p>
      <w:r>
        <w:t>| State | Law | Effective | Key Requirement |</w:t>
      </w:r>
    </w:p>
    <w:p>
      <w:r>
        <w:t>|-------|-----|-----------|-----------------|</w:t>
      </w:r>
    </w:p>
    <w:p>
      <w:r>
        <w:t>| California | CCPA/CPRA | 2020/2023 | Right to deletion, opt-out of sale |</w:t>
      </w:r>
    </w:p>
    <w:p>
      <w:r>
        <w:t>| Virginia | CDPA | 2023 | Data protection assessments |</w:t>
      </w:r>
    </w:p>
    <w:p>
      <w:r>
        <w:t>| Colorado | CPA | 2023 | Universal opt-out mechanism |</w:t>
      </w:r>
    </w:p>
    <w:p>
      <w:r>
        <w:t>| Connecticut | CTDPA | 2023 | Sensitive data consent |</w:t>
      </w:r>
    </w:p>
    <w:p>
      <w:r>
        <w:t>| Texas | TDPSA | 2024 | Data broker registration |</w:t>
      </w:r>
    </w:p>
    <w:p/>
    <w:p>
      <w:r>
        <w:t>---</w:t>
      </w:r>
    </w:p>
    <w:p/>
    <w:p>
      <w:pPr>
        <w:pStyle w:val="Heading2"/>
      </w:pPr>
      <w:r>
        <w:t>1.3 International Compliance Considerations</w:t>
      </w:r>
    </w:p>
    <w:p/>
    <w:p>
      <w:pPr>
        <w:pStyle w:val="Heading3"/>
      </w:pPr>
      <w:r>
        <w:t>General Data Protection Regulation (GDPR)</w:t>
      </w:r>
    </w:p>
    <w:p>
      <w:r>
        <w:t>SaaS platforms serving EU customers must maintain:</w:t>
      </w:r>
    </w:p>
    <w:p>
      <w:pPr>
        <w:pStyle w:val="ListParagraph"/>
      </w:pPr>
      <w:r>
        <w:t>Article 30 Records of Processing Activities</w:t>
      </w:r>
    </w:p>
    <w:p>
      <w:pPr>
        <w:pStyle w:val="ListParagraph"/>
      </w:pPr>
      <w:r>
        <w:t>Data Processing Agreements (DPA) with all sub-processors</w:t>
      </w:r>
    </w:p>
    <w:p>
      <w:pPr>
        <w:pStyle w:val="ListParagraph"/>
      </w:pPr>
      <w:r>
        <w:t>Privacy by Design implementation documentation</w:t>
      </w:r>
    </w:p>
    <w:p>
      <w:pPr>
        <w:pStyle w:val="ListParagraph"/>
      </w:pPr>
      <w:r>
        <w:t>Data Protection Impact Assessments (DPIA) for high-risk processing</w:t>
      </w:r>
    </w:p>
    <w:p>
      <w:pPr>
        <w:pStyle w:val="ListParagraph"/>
      </w:pPr>
      <w:r>
        <w:t>Breach notification within 72 hours to supervisory authorities</w:t>
      </w:r>
    </w:p>
    <w:p/>
    <w:p>
      <w:pPr>
        <w:pStyle w:val="Heading3"/>
      </w:pPr>
      <w:r>
        <w:t>Payment Card Industry Data Security Standard (PCI DSS v4.0)</w:t>
      </w:r>
    </w:p>
    <w:p>
      <w:r>
        <w:t>Effective March 2025, PCI DSS v4.0 introduces:</w:t>
      </w:r>
    </w:p>
    <w:p>
      <w:pPr>
        <w:pStyle w:val="ListParagraph"/>
      </w:pPr>
      <w:r>
        <w:t>Customized approach for security controls</w:t>
      </w:r>
    </w:p>
    <w:p>
      <w:pPr>
        <w:pStyle w:val="ListParagraph"/>
      </w:pPr>
      <w:r>
        <w:t>Enhanced multi-factor authentication requirements</w:t>
      </w:r>
    </w:p>
    <w:p>
      <w:pPr>
        <w:pStyle w:val="ListParagraph"/>
      </w:pPr>
      <w:r>
        <w:t>Targeted risk analysis for all requirements</w:t>
      </w:r>
    </w:p>
    <w:p>
      <w:pPr>
        <w:pStyle w:val="ListParagraph"/>
      </w:pPr>
      <w:r>
        <w:t>Annual penetration testing mandates</w:t>
      </w:r>
    </w:p>
    <w:p/>
    <w:p>
      <w:r>
        <w:t>---</w:t>
      </w:r>
    </w:p>
    <w:p/>
    <w:p>
      <w:pPr>
        <w:pStyle w:val="Heading1"/>
      </w:pPr>
      <w:r>
        <w:t>SECTION 2: GO-TO-MARKET STRATEGY &amp; DOCUMENTATION FRAMEWORK</w:t>
      </w:r>
    </w:p>
    <w:p/>
    <w:p>
      <w:pPr>
        <w:pStyle w:val="Heading2"/>
      </w:pPr>
      <w:r>
        <w:t>2.1 Enterprise Sales Documentation Requirements</w:t>
      </w:r>
    </w:p>
    <w:p/>
    <w:p>
      <w:r>
        <w:t>Enterprise procurement teams at Fortune 500 companies and regulated financial institutions require the following documentation stack before vendor approval:</w:t>
      </w:r>
    </w:p>
    <w:p/>
    <w:p>
      <w:pPr>
        <w:pStyle w:val="Heading3"/>
      </w:pPr>
      <w:r>
        <w:t>Tier 1 Documentation (Pre-Sales)</w:t>
      </w:r>
    </w:p>
    <w:p>
      <w:pPr>
        <w:pStyle w:val="ListParagraph"/>
      </w:pPr>
      <w:r>
        <w:t xml:space="preserve">1. </w:t>
      </w:r>
      <w:r/>
      <w:r>
        <w:rPr>
          <w:b/>
        </w:rPr>
        <w:t>Company Overview One-Pager</w:t>
      </w:r>
      <w:r>
        <w:t xml:space="preserve"> — executive summary of capabilities</w:t>
      </w:r>
    </w:p>
    <w:p>
      <w:pPr>
        <w:pStyle w:val="ListParagraph"/>
      </w:pPr>
      <w:r>
        <w:t xml:space="preserve">2. </w:t>
      </w:r>
      <w:r/>
      <w:r>
        <w:rPr>
          <w:b/>
        </w:rPr>
        <w:t>Capabilities Briefing Deck</w:t>
      </w:r>
      <w:r>
        <w:t xml:space="preserve"> — 12–15 slides covering product, team, traction</w:t>
      </w:r>
    </w:p>
    <w:p>
      <w:pPr>
        <w:pStyle w:val="ListParagraph"/>
      </w:pPr>
      <w:r>
        <w:t xml:space="preserve">3. </w:t>
      </w:r>
      <w:r/>
      <w:r>
        <w:rPr>
          <w:b/>
        </w:rPr>
        <w:t>Security Questionnaire Responses</w:t>
      </w:r>
      <w:r>
        <w:t xml:space="preserve"> — CAIQ, SIG, or custom enterprise questionnaire</w:t>
      </w:r>
    </w:p>
    <w:p>
      <w:pPr>
        <w:pStyle w:val="ListParagraph"/>
      </w:pPr>
      <w:r>
        <w:t xml:space="preserve">4. </w:t>
      </w:r>
      <w:r/>
      <w:r>
        <w:rPr>
          <w:b/>
        </w:rPr>
        <w:t>SOC 2 Type II Report</w:t>
      </w:r>
      <w:r>
        <w:t xml:space="preserve"> — or Letter of Attestation if in progress</w:t>
      </w:r>
    </w:p>
    <w:p>
      <w:pPr>
        <w:pStyle w:val="ListParagraph"/>
      </w:pPr>
      <w:r>
        <w:t xml:space="preserve">5. </w:t>
      </w:r>
      <w:r/>
      <w:r>
        <w:rPr>
          <w:b/>
        </w:rPr>
        <w:t>Privacy Policy &amp; DPA</w:t>
      </w:r>
      <w:r>
        <w:t xml:space="preserve"> — GDPR and CCPA compliant versions</w:t>
      </w:r>
    </w:p>
    <w:p/>
    <w:p>
      <w:pPr>
        <w:pStyle w:val="Heading3"/>
      </w:pPr>
      <w:r>
        <w:t>Tier 2 Documentation (Due Diligence)</w:t>
      </w:r>
    </w:p>
    <w:p>
      <w:pPr>
        <w:pStyle w:val="ListParagraph"/>
      </w:pPr>
      <w:r>
        <w:t xml:space="preserve">6. </w:t>
      </w:r>
      <w:r/>
      <w:r>
        <w:rPr>
          <w:b/>
        </w:rPr>
        <w:t>Business Continuity Plan (BCP)</w:t>
      </w:r>
      <w:r>
        <w:t xml:space="preserve"> — documented recovery procedures</w:t>
      </w:r>
    </w:p>
    <w:p>
      <w:pPr>
        <w:pStyle w:val="ListParagraph"/>
      </w:pPr>
      <w:r>
        <w:t xml:space="preserve">7. </w:t>
      </w:r>
      <w:r/>
      <w:r>
        <w:rPr>
          <w:b/>
        </w:rPr>
        <w:t>Incident Response Plan (IRP)</w:t>
      </w:r>
      <w:r>
        <w:t xml:space="preserve"> — breach notification workflows</w:t>
      </w:r>
    </w:p>
    <w:p>
      <w:pPr>
        <w:pStyle w:val="ListParagraph"/>
      </w:pPr>
      <w:r>
        <w:t xml:space="preserve">8. </w:t>
      </w:r>
      <w:r/>
      <w:r>
        <w:rPr>
          <w:b/>
        </w:rPr>
        <w:t>Vendor Risk Management Policy</w:t>
      </w:r>
      <w:r>
        <w:t xml:space="preserve"> — sub-processor list and controls</w:t>
      </w:r>
    </w:p>
    <w:p>
      <w:pPr>
        <w:pStyle w:val="ListParagraph"/>
      </w:pPr>
      <w:r>
        <w:t xml:space="preserve">9. </w:t>
      </w:r>
      <w:r/>
      <w:r>
        <w:rPr>
          <w:b/>
        </w:rPr>
        <w:t>Penetration Test Executive Summary</w:t>
      </w:r>
      <w:r>
        <w:t xml:space="preserve"> — last 12 months</w:t>
      </w:r>
    </w:p>
    <w:p>
      <w:pPr>
        <w:pStyle w:val="ListParagraph"/>
      </w:pPr>
      <w:r>
        <w:t xml:space="preserve">10. </w:t>
      </w:r>
      <w:r/>
      <w:r>
        <w:rPr>
          <w:b/>
        </w:rPr>
        <w:t>Insurance Certificates</w:t>
      </w:r>
      <w:r>
        <w:t xml:space="preserve"> — Cyber, E&amp;O, and General Liability</w:t>
      </w:r>
    </w:p>
    <w:p/>
    <w:p>
      <w:pPr>
        <w:pStyle w:val="Heading3"/>
      </w:pPr>
      <w:r>
        <w:t>Tier 3 Documentation (Contract Phase)</w:t>
      </w:r>
    </w:p>
    <w:p>
      <w:pPr>
        <w:pStyle w:val="ListParagraph"/>
      </w:pPr>
      <w:r>
        <w:t xml:space="preserve">11. </w:t>
      </w:r>
      <w:r/>
      <w:r>
        <w:rPr>
          <w:b/>
        </w:rPr>
        <w:t>Master Service Agreement (MSA) Template</w:t>
      </w:r>
      <w:r/>
    </w:p>
    <w:p>
      <w:pPr>
        <w:pStyle w:val="ListParagraph"/>
      </w:pPr>
      <w:r>
        <w:t xml:space="preserve">12. </w:t>
      </w:r>
      <w:r/>
      <w:r>
        <w:rPr>
          <w:b/>
        </w:rPr>
        <w:t>Data Processing Agreement (DPA)</w:t>
      </w:r>
      <w:r/>
    </w:p>
    <w:p>
      <w:pPr>
        <w:pStyle w:val="ListParagraph"/>
      </w:pPr>
      <w:r>
        <w:t xml:space="preserve">13. </w:t>
      </w:r>
      <w:r/>
      <w:r>
        <w:rPr>
          <w:b/>
        </w:rPr>
        <w:t>Service Level Agreement (SLA)</w:t>
      </w:r>
      <w:r>
        <w:t xml:space="preserve"> — uptime, response times, credits</w:t>
      </w:r>
    </w:p>
    <w:p>
      <w:pPr>
        <w:pStyle w:val="ListParagraph"/>
      </w:pPr>
      <w:r>
        <w:t xml:space="preserve">14. </w:t>
      </w:r>
      <w:r/>
      <w:r>
        <w:rPr>
          <w:b/>
        </w:rPr>
        <w:t>Implementation &amp; Onboarding Guide</w:t>
      </w:r>
      <w:r/>
    </w:p>
    <w:p>
      <w:pPr>
        <w:pStyle w:val="ListParagraph"/>
      </w:pPr>
      <w:r>
        <w:t xml:space="preserve">15. </w:t>
      </w:r>
      <w:r/>
      <w:r>
        <w:rPr>
          <w:b/>
        </w:rPr>
        <w:t>API Documentation</w:t>
      </w:r>
      <w:r>
        <w:t xml:space="preserve"> — if applicable</w:t>
      </w:r>
    </w:p>
    <w:p/>
    <w:p>
      <w:r>
        <w:t>---</w:t>
      </w:r>
    </w:p>
    <w:p/>
    <w:p>
      <w:pPr>
        <w:pStyle w:val="Heading2"/>
      </w:pPr>
      <w:r>
        <w:t>2.2 Ideal Customer Profile (ICP) Analysis</w:t>
      </w:r>
    </w:p>
    <w:p/>
    <w:p>
      <w:pPr>
        <w:pStyle w:val="Heading3"/>
      </w:pPr>
      <w:r>
        <w:t>Primary ICP: Series B+ FinTech Companies</w:t>
      </w:r>
    </w:p>
    <w:p>
      <w:pPr>
        <w:pStyle w:val="ListParagraph"/>
      </w:pPr>
      <w:r/>
      <w:r>
        <w:rPr>
          <w:b/>
        </w:rPr>
        <w:t>Revenue:</w:t>
      </w:r>
      <w:r>
        <w:t xml:space="preserve"> $5M–$50M ARR</w:t>
      </w:r>
    </w:p>
    <w:p>
      <w:pPr>
        <w:pStyle w:val="ListParagraph"/>
      </w:pPr>
      <w:r/>
      <w:r>
        <w:rPr>
          <w:b/>
        </w:rPr>
        <w:t>Headcount:</w:t>
      </w:r>
      <w:r>
        <w:t xml:space="preserve"> 50–500 employees</w:t>
      </w:r>
    </w:p>
    <w:p>
      <w:pPr>
        <w:pStyle w:val="ListParagraph"/>
      </w:pPr>
      <w:r/>
      <w:r>
        <w:rPr>
          <w:b/>
        </w:rPr>
        <w:t>Pain:</w:t>
      </w:r>
      <w:r>
        <w:t xml:space="preserve"> Scaling enterprise sales without enterprise compliance infrastructure</w:t>
      </w:r>
    </w:p>
    <w:p>
      <w:pPr>
        <w:pStyle w:val="ListParagraph"/>
      </w:pPr>
      <w:r/>
      <w:r>
        <w:rPr>
          <w:b/>
        </w:rPr>
        <w:t>Budget:</w:t>
      </w:r>
      <w:r>
        <w:t xml:space="preserve"> $50K–$500K annual compliance and documentation spend</w:t>
      </w:r>
    </w:p>
    <w:p>
      <w:pPr>
        <w:pStyle w:val="ListParagraph"/>
      </w:pPr>
      <w:r/>
      <w:r>
        <w:rPr>
          <w:b/>
        </w:rPr>
        <w:t>Decision Maker:</w:t>
      </w:r>
      <w:r>
        <w:t xml:space="preserve"> VP of Sales, CRO, General Counsel, or CTO</w:t>
      </w:r>
    </w:p>
    <w:p/>
    <w:p>
      <w:pPr>
        <w:pStyle w:val="Heading3"/>
      </w:pPr>
      <w:r>
        <w:t>Secondary ICP: Regional Banks &amp; Credit Unions Modernizing Tech Stack</w:t>
      </w:r>
    </w:p>
    <w:p>
      <w:pPr>
        <w:pStyle w:val="ListParagraph"/>
      </w:pPr>
      <w:r/>
      <w:r>
        <w:rPr>
          <w:b/>
        </w:rPr>
        <w:t>Asset Size:</w:t>
      </w:r>
      <w:r>
        <w:t xml:space="preserve"> $500M–$10B</w:t>
      </w:r>
    </w:p>
    <w:p>
      <w:pPr>
        <w:pStyle w:val="ListParagraph"/>
      </w:pPr>
      <w:r/>
      <w:r>
        <w:rPr>
          <w:b/>
        </w:rPr>
        <w:t>Pain:</w:t>
      </w:r>
      <w:r>
        <w:t xml:space="preserve"> Digital transformation requiring new vendor onboarding documentation</w:t>
      </w:r>
    </w:p>
    <w:p>
      <w:pPr>
        <w:pStyle w:val="ListParagraph"/>
      </w:pPr>
      <w:r/>
      <w:r>
        <w:rPr>
          <w:b/>
        </w:rPr>
        <w:t>Budget:</w:t>
      </w:r>
      <w:r>
        <w:t xml:space="preserve"> $100K–$2M annual technology vendor spend</w:t>
      </w:r>
    </w:p>
    <w:p>
      <w:pPr>
        <w:pStyle w:val="ListParagraph"/>
      </w:pPr>
      <w:r/>
      <w:r>
        <w:rPr>
          <w:b/>
        </w:rPr>
        <w:t>Decision Maker:</w:t>
      </w:r>
      <w:r>
        <w:t xml:space="preserve"> CIO, Chief Risk Officer, VP Technology</w:t>
      </w:r>
    </w:p>
    <w:p/>
    <w:p>
      <w:pPr>
        <w:pStyle w:val="Heading3"/>
      </w:pPr>
      <w:r>
        <w:t>Tertiary ICP: Enterprise SaaS Companies Entering Financial Services</w:t>
      </w:r>
    </w:p>
    <w:p>
      <w:pPr>
        <w:pStyle w:val="ListParagraph"/>
      </w:pPr>
      <w:r/>
      <w:r>
        <w:rPr>
          <w:b/>
        </w:rPr>
        <w:t>Revenue:</w:t>
      </w:r>
      <w:r>
        <w:t xml:space="preserve"> $20M+ ARR in adjacent market</w:t>
      </w:r>
    </w:p>
    <w:p>
      <w:pPr>
        <w:pStyle w:val="ListParagraph"/>
      </w:pPr>
      <w:r/>
      <w:r>
        <w:rPr>
          <w:b/>
        </w:rPr>
        <w:t>Pain:</w:t>
      </w:r>
      <w:r>
        <w:t xml:space="preserve"> Regulatory complexity of FS entry</w:t>
      </w:r>
    </w:p>
    <w:p>
      <w:pPr>
        <w:pStyle w:val="ListParagraph"/>
      </w:pPr>
      <w:r/>
      <w:r>
        <w:rPr>
          <w:b/>
        </w:rPr>
        <w:t>Budget:</w:t>
      </w:r>
      <w:r>
        <w:t xml:space="preserve"> $200K–$1M compliance buildout budget</w:t>
      </w:r>
    </w:p>
    <w:p>
      <w:pPr>
        <w:pStyle w:val="ListParagraph"/>
      </w:pPr>
      <w:r/>
      <w:r>
        <w:rPr>
          <w:b/>
        </w:rPr>
        <w:t>Decision Maker:</w:t>
      </w:r>
      <w:r>
        <w:t xml:space="preserve"> Chief Compliance Officer, General Counsel</w:t>
      </w:r>
    </w:p>
    <w:p/>
    <w:p>
      <w:r>
        <w:t>---</w:t>
      </w:r>
    </w:p>
    <w:p/>
    <w:p>
      <w:pPr>
        <w:pStyle w:val="Heading2"/>
      </w:pPr>
      <w:r>
        <w:t>2.3 Competitive Positioning Framework</w:t>
      </w:r>
    </w:p>
    <w:p/>
    <w:p>
      <w:pPr>
        <w:pStyle w:val="Heading3"/>
      </w:pPr>
      <w:r>
        <w:t>Value Proposition Canvas</w:t>
      </w:r>
    </w:p>
    <w:p/>
    <w:p>
      <w:r/>
      <w:r>
        <w:rPr>
          <w:b/>
        </w:rPr>
        <w:t>Jobs To Be Done:</w:t>
      </w:r>
      <w:r/>
    </w:p>
    <w:p>
      <w:pPr>
        <w:pStyle w:val="ListParagraph"/>
      </w:pPr>
      <w:r>
        <w:t xml:space="preserve">1. </w:t>
      </w:r>
      <w:r>
        <w:t>Pass enterprise security reviews in under 30 days</w:t>
      </w:r>
    </w:p>
    <w:p>
      <w:pPr>
        <w:pStyle w:val="ListParagraph"/>
      </w:pPr>
      <w:r>
        <w:t xml:space="preserve">2. </w:t>
      </w:r>
      <w:r>
        <w:t>Demonstrate regulatory compliance to investors</w:t>
      </w:r>
    </w:p>
    <w:p>
      <w:pPr>
        <w:pStyle w:val="ListParagraph"/>
      </w:pPr>
      <w:r>
        <w:t xml:space="preserve">3. </w:t>
      </w:r>
      <w:r>
        <w:t>Reduce sales cycle length by eliminating documentation delays</w:t>
      </w:r>
    </w:p>
    <w:p>
      <w:pPr>
        <w:pStyle w:val="ListParagraph"/>
      </w:pPr>
      <w:r>
        <w:t xml:space="preserve">4. </w:t>
      </w:r>
      <w:r>
        <w:t>Scale customer onboarding without proportional headcount increases</w:t>
      </w:r>
    </w:p>
    <w:p/>
    <w:p>
      <w:r/>
      <w:r>
        <w:rPr>
          <w:b/>
        </w:rPr>
        <w:t>Pain Points Addressed:</w:t>
      </w:r>
      <w:r/>
    </w:p>
    <w:p>
      <w:pPr>
        <w:pStyle w:val="ListParagraph"/>
      </w:pPr>
      <w:r>
        <w:t>Compliance documentation built by lawyers costs $500–$1,000/hour</w:t>
      </w:r>
    </w:p>
    <w:p>
      <w:pPr>
        <w:pStyle w:val="ListParagraph"/>
      </w:pPr>
      <w:r>
        <w:t>Internal teams lack domain expertise in FinTech regulation</w:t>
      </w:r>
    </w:p>
    <w:p>
      <w:pPr>
        <w:pStyle w:val="ListParagraph"/>
      </w:pPr>
      <w:r>
        <w:t>Outdated documentation causes deal delays or losses</w:t>
      </w:r>
    </w:p>
    <w:p>
      <w:pPr>
        <w:pStyle w:val="ListParagraph"/>
      </w:pPr>
      <w:r>
        <w:t>New regulations (PCI DSS v4.0, SEC cyber rules) require immediate updates</w:t>
      </w:r>
    </w:p>
    <w:p/>
    <w:p>
      <w:r/>
      <w:r>
        <w:rPr>
          <w:b/>
        </w:rPr>
        <w:t>Gain Creators:</w:t>
      </w:r>
      <w:r/>
    </w:p>
    <w:p>
      <w:pPr>
        <w:pStyle w:val="ListParagraph"/>
      </w:pPr>
      <w:r>
        <w:t>Complete documentation package in 48 hours vs. 3–6 months</w:t>
      </w:r>
    </w:p>
    <w:p>
      <w:pPr>
        <w:pStyle w:val="ListParagraph"/>
      </w:pPr>
      <w:r>
        <w:t>90% cost reduction vs. boutique compliance consulting</w:t>
      </w:r>
    </w:p>
    <w:p>
      <w:pPr>
        <w:pStyle w:val="ListParagraph"/>
      </w:pPr>
      <w:r>
        <w:t>Real-time regulatory updates via retainer model</w:t>
      </w:r>
    </w:p>
    <w:p>
      <w:pPr>
        <w:pStyle w:val="ListParagraph"/>
      </w:pPr>
      <w:r>
        <w:t>Enterprise-grade formatting that passes procurement reviews</w:t>
      </w:r>
    </w:p>
    <w:p/>
    <w:p>
      <w:r>
        <w:t>---</w:t>
      </w:r>
    </w:p>
    <w:p/>
    <w:p>
      <w:pPr>
        <w:pStyle w:val="Heading1"/>
      </w:pPr>
      <w:r>
        <w:t>SECTION 3: CUSTOMER ONBOARDING WORKFLOW</w:t>
      </w:r>
    </w:p>
    <w:p/>
    <w:p>
      <w:pPr>
        <w:pStyle w:val="Heading2"/>
      </w:pPr>
      <w:r>
        <w:t>3.1 Technical Onboarding Framework</w:t>
      </w:r>
    </w:p>
    <w:p/>
    <w:p>
      <w:pPr>
        <w:pStyle w:val="Heading3"/>
      </w:pPr>
      <w:r>
        <w:t>Phase 1: Account Provisioning (Days 1–3)</w:t>
      </w:r>
    </w:p>
    <w:p>
      <w:r/>
      <w:r>
        <w:rPr>
          <w:b/>
        </w:rPr>
        <w:t>Objectives:</w:t>
      </w:r>
      <w:r>
        <w:t xml:space="preserve"> Environment setup, credential provisioning, initial configuration</w:t>
      </w:r>
    </w:p>
    <w:p/>
    <w:p>
      <w:r/>
      <w:r>
        <w:rPr>
          <w:b/>
        </w:rPr>
        <w:t>Checklist:</w:t>
      </w:r>
      <w:r/>
    </w:p>
    <w:p>
      <w:pPr>
        <w:pStyle w:val="ListParagraph"/>
      </w:pPr>
      <w:r>
        <w:t>[ ] Welcome email with secure credential delivery</w:t>
      </w:r>
    </w:p>
    <w:p>
      <w:pPr>
        <w:pStyle w:val="ListParagraph"/>
      </w:pPr>
      <w:r>
        <w:t>[ ] Multi-factor authentication enrollment</w:t>
      </w:r>
    </w:p>
    <w:p>
      <w:pPr>
        <w:pStyle w:val="ListParagraph"/>
      </w:pPr>
      <w:r>
        <w:t>[ ] Role-based access control configuration</w:t>
      </w:r>
    </w:p>
    <w:p>
      <w:pPr>
        <w:pStyle w:val="ListParagraph"/>
      </w:pPr>
      <w:r>
        <w:t>[ ] Single Sign-On (SSO) integration (if applicable)</w:t>
      </w:r>
    </w:p>
    <w:p>
      <w:pPr>
        <w:pStyle w:val="ListParagraph"/>
      </w:pPr>
      <w:r>
        <w:t>[ ] IP allowlisting and network configuration</w:t>
      </w:r>
    </w:p>
    <w:p>
      <w:pPr>
        <w:pStyle w:val="ListParagraph"/>
      </w:pPr>
      <w:r>
        <w:t>[ ] Initial data ingestion or migration kickoff</w:t>
      </w:r>
    </w:p>
    <w:p/>
    <w:p>
      <w:r/>
      <w:r>
        <w:rPr>
          <w:b/>
        </w:rPr>
        <w:t>SLA Targets:</w:t>
      </w:r>
      <w:r/>
    </w:p>
    <w:p>
      <w:pPr>
        <w:pStyle w:val="ListParagraph"/>
      </w:pPr>
      <w:r>
        <w:t>Credential delivery: Within 2 business hours of contract execution</w:t>
      </w:r>
    </w:p>
    <w:p>
      <w:pPr>
        <w:pStyle w:val="ListParagraph"/>
      </w:pPr>
      <w:r>
        <w:t>SSO configuration: 24 business hours</w:t>
      </w:r>
    </w:p>
    <w:p>
      <w:pPr>
        <w:pStyle w:val="ListParagraph"/>
      </w:pPr>
      <w:r>
        <w:t>Initial environment ready: 72 business hours</w:t>
      </w:r>
    </w:p>
    <w:p/>
    <w:p>
      <w:pPr>
        <w:pStyle w:val="Heading3"/>
      </w:pPr>
      <w:r>
        <w:t>Phase 2: Configuration &amp; Integration (Days 4–14)</w:t>
      </w:r>
    </w:p>
    <w:p>
      <w:r/>
      <w:r>
        <w:rPr>
          <w:b/>
        </w:rPr>
        <w:t>Objectives:</w:t>
      </w:r>
      <w:r>
        <w:t xml:space="preserve"> API integration, workflow configuration, data mapping</w:t>
      </w:r>
    </w:p>
    <w:p/>
    <w:p>
      <w:r/>
      <w:r>
        <w:rPr>
          <w:b/>
        </w:rPr>
        <w:t>Technical Integration Points:</w:t>
      </w:r>
      <w:r/>
    </w:p>
    <w:p>
      <w:pPr>
        <w:pStyle w:val="ListParagraph"/>
      </w:pPr>
      <w:r>
        <w:t>REST API authentication (OAuth 2.0 recommended)</w:t>
      </w:r>
    </w:p>
    <w:p>
      <w:pPr>
        <w:pStyle w:val="ListParagraph"/>
      </w:pPr>
      <w:r>
        <w:t>Webhook endpoint configuration for real-time events</w:t>
      </w:r>
    </w:p>
    <w:p>
      <w:pPr>
        <w:pStyle w:val="ListParagraph"/>
      </w:pPr>
      <w:r>
        <w:t>Data mapping between client systems and platform schema</w:t>
      </w:r>
    </w:p>
    <w:p>
      <w:pPr>
        <w:pStyle w:val="ListParagraph"/>
      </w:pPr>
      <w:r>
        <w:t>Test environment validation with sample data</w:t>
      </w:r>
    </w:p>
    <w:p>
      <w:pPr>
        <w:pStyle w:val="ListParagraph"/>
      </w:pPr>
      <w:r>
        <w:t>Compliance data retention policy configuration</w:t>
      </w:r>
    </w:p>
    <w:p/>
    <w:p>
      <w:r/>
      <w:r>
        <w:rPr>
          <w:b/>
        </w:rPr>
        <w:t>Deliverables:</w:t>
      </w:r>
      <w:r/>
    </w:p>
    <w:p>
      <w:pPr>
        <w:pStyle w:val="ListParagraph"/>
      </w:pPr>
      <w:r>
        <w:t>Signed technical specification document</w:t>
      </w:r>
    </w:p>
    <w:p>
      <w:pPr>
        <w:pStyle w:val="ListParagraph"/>
      </w:pPr>
      <w:r>
        <w:t>Completed integration testing report</w:t>
      </w:r>
    </w:p>
    <w:p>
      <w:pPr>
        <w:pStyle w:val="ListParagraph"/>
      </w:pPr>
      <w:r>
        <w:t>Data flow diagram with security annotations</w:t>
      </w:r>
    </w:p>
    <w:p>
      <w:pPr>
        <w:pStyle w:val="ListParagraph"/>
      </w:pPr>
      <w:r>
        <w:t>Rollback procedure documentation</w:t>
      </w:r>
    </w:p>
    <w:p/>
    <w:p>
      <w:pPr>
        <w:pStyle w:val="Heading3"/>
      </w:pPr>
      <w:r>
        <w:t>Phase 3: User Training &amp; Enablement (Days 15–21)</w:t>
      </w:r>
    </w:p>
    <w:p>
      <w:r/>
      <w:r>
        <w:rPr>
          <w:b/>
        </w:rPr>
        <w:t>Objectives:</w:t>
      </w:r>
      <w:r>
        <w:t xml:space="preserve"> Administrator training, end-user enablement, documentation handoff</w:t>
      </w:r>
    </w:p>
    <w:p/>
    <w:p>
      <w:r/>
      <w:r>
        <w:rPr>
          <w:b/>
        </w:rPr>
        <w:t>Training Modules:</w:t>
      </w:r>
      <w:r/>
    </w:p>
    <w:p>
      <w:pPr>
        <w:pStyle w:val="ListParagraph"/>
      </w:pPr>
      <w:r>
        <w:t xml:space="preserve">1. </w:t>
      </w:r>
      <w:r>
        <w:t>Platform Administration (4 hours) — admin console, user management, reporting</w:t>
      </w:r>
    </w:p>
    <w:p>
      <w:pPr>
        <w:pStyle w:val="ListParagraph"/>
      </w:pPr>
      <w:r>
        <w:t xml:space="preserve">2. </w:t>
      </w:r>
      <w:r>
        <w:t>Compliance Workflows (2 hours) — audit trails, SAR filing, reporting</w:t>
      </w:r>
    </w:p>
    <w:p>
      <w:pPr>
        <w:pStyle w:val="ListParagraph"/>
      </w:pPr>
      <w:r>
        <w:t xml:space="preserve">3. </w:t>
      </w:r>
      <w:r>
        <w:t>API &amp; Integration Management (3 hours) — for technical teams</w:t>
      </w:r>
    </w:p>
    <w:p>
      <w:pPr>
        <w:pStyle w:val="ListParagraph"/>
      </w:pPr>
      <w:r>
        <w:t xml:space="preserve">4. </w:t>
      </w:r>
      <w:r>
        <w:t>End-User Orientation (1 hour) — role-specific feature walkthrough</w:t>
      </w:r>
    </w:p>
    <w:p/>
    <w:p>
      <w:r/>
      <w:r>
        <w:rPr>
          <w:b/>
        </w:rPr>
        <w:t>Enablement Materials Provided:</w:t>
      </w:r>
      <w:r/>
    </w:p>
    <w:p>
      <w:pPr>
        <w:pStyle w:val="ListParagraph"/>
      </w:pPr>
      <w:r>
        <w:t>Interactive knowledge base access</w:t>
      </w:r>
    </w:p>
    <w:p>
      <w:pPr>
        <w:pStyle w:val="ListParagraph"/>
      </w:pPr>
      <w:r>
        <w:t>Role-specific user guides (PDF + video)</w:t>
      </w:r>
    </w:p>
    <w:p>
      <w:pPr>
        <w:pStyle w:val="ListParagraph"/>
      </w:pPr>
      <w:r>
        <w:t>Quick reference cards</w:t>
      </w:r>
    </w:p>
    <w:p>
      <w:pPr>
        <w:pStyle w:val="ListParagraph"/>
      </w:pPr>
      <w:r>
        <w:t>Escalation contact directory</w:t>
      </w:r>
    </w:p>
    <w:p/>
    <w:p>
      <w:pPr>
        <w:pStyle w:val="Heading3"/>
      </w:pPr>
      <w:r>
        <w:t>Phase 4: Go-Live &amp; Stabilization (Days 22–30)</w:t>
      </w:r>
    </w:p>
    <w:p>
      <w:r/>
      <w:r>
        <w:rPr>
          <w:b/>
        </w:rPr>
        <w:t>Objectives:</w:t>
      </w:r>
      <w:r>
        <w:t xml:space="preserve"> Production launch, performance monitoring, issue resolution</w:t>
      </w:r>
    </w:p>
    <w:p/>
    <w:p>
      <w:r/>
      <w:r>
        <w:rPr>
          <w:b/>
        </w:rPr>
        <w:t>Go-Live Checklist:</w:t>
      </w:r>
      <w:r/>
    </w:p>
    <w:p>
      <w:pPr>
        <w:pStyle w:val="ListParagraph"/>
      </w:pPr>
      <w:r>
        <w:t>[ ] Final UAT sign-off from client stakeholders</w:t>
      </w:r>
    </w:p>
    <w:p>
      <w:pPr>
        <w:pStyle w:val="ListParagraph"/>
      </w:pPr>
      <w:r>
        <w:t>[ ] Production environment health check</w:t>
      </w:r>
    </w:p>
    <w:p>
      <w:pPr>
        <w:pStyle w:val="ListParagraph"/>
      </w:pPr>
      <w:r>
        <w:t>[ ] Monitoring and alerting configuration confirmed</w:t>
      </w:r>
    </w:p>
    <w:p>
      <w:pPr>
        <w:pStyle w:val="ListParagraph"/>
      </w:pPr>
      <w:r>
        <w:t>[ ] Emergency contact protocol established</w:t>
      </w:r>
    </w:p>
    <w:p>
      <w:pPr>
        <w:pStyle w:val="ListParagraph"/>
      </w:pPr>
      <w:r>
        <w:t>[ ] 30-day hypercare support team assigned</w:t>
      </w:r>
    </w:p>
    <w:p/>
    <w:p>
      <w:r>
        <w:t>---</w:t>
      </w:r>
    </w:p>
    <w:p/>
    <w:p>
      <w:pPr>
        <w:pStyle w:val="Heading2"/>
      </w:pPr>
      <w:r>
        <w:t>3.2 Compliance Onboarding for Financial Institutions</w:t>
      </w:r>
    </w:p>
    <w:p/>
    <w:p>
      <w:r>
        <w:t>Banks and credit unions require additional compliance onboarding steps beyond standard SaaS onboarding:</w:t>
      </w:r>
    </w:p>
    <w:p/>
    <w:p>
      <w:pPr>
        <w:pStyle w:val="Heading3"/>
      </w:pPr>
      <w:r>
        <w:t>Vendor Due Diligence Package</w:t>
      </w:r>
    </w:p>
    <w:p>
      <w:r>
        <w:t>Financial institutions must complete vendor due diligence per OCC Bulletin 2013-29 and FFIEC guidelines. Provide:</w:t>
      </w:r>
    </w:p>
    <w:p>
      <w:pPr>
        <w:pStyle w:val="ListParagraph"/>
      </w:pPr>
      <w:r>
        <w:t xml:space="preserve">1. </w:t>
      </w:r>
      <w:r>
        <w:t>Most recent audited financial statements</w:t>
      </w:r>
    </w:p>
    <w:p>
      <w:pPr>
        <w:pStyle w:val="ListParagraph"/>
      </w:pPr>
      <w:r>
        <w:t xml:space="preserve">2. </w:t>
      </w:r>
      <w:r>
        <w:t>SOC 2 Type II report (within 12 months)</w:t>
      </w:r>
    </w:p>
    <w:p>
      <w:pPr>
        <w:pStyle w:val="ListParagraph"/>
      </w:pPr>
      <w:r>
        <w:t xml:space="preserve">3. </w:t>
      </w:r>
      <w:r>
        <w:t>Completed standardized information gathering (SIG) questionnaire</w:t>
      </w:r>
    </w:p>
    <w:p>
      <w:pPr>
        <w:pStyle w:val="ListParagraph"/>
      </w:pPr>
      <w:r>
        <w:t xml:space="preserve">4. </w:t>
      </w:r>
      <w:r>
        <w:t>Business continuity and disaster recovery documentation</w:t>
      </w:r>
    </w:p>
    <w:p>
      <w:pPr>
        <w:pStyle w:val="ListParagraph"/>
      </w:pPr>
      <w:r>
        <w:t xml:space="preserve">5. </w:t>
      </w:r>
      <w:r>
        <w:t>Subcontractor and fourth-party vendor list</w:t>
      </w:r>
    </w:p>
    <w:p>
      <w:pPr>
        <w:pStyle w:val="ListParagraph"/>
      </w:pPr>
      <w:r>
        <w:t xml:space="preserve">6. </w:t>
      </w:r>
      <w:r>
        <w:t>Cyber insurance certificate (minimum $5M coverage recommended)</w:t>
      </w:r>
    </w:p>
    <w:p>
      <w:pPr>
        <w:pStyle w:val="ListParagraph"/>
      </w:pPr>
      <w:r>
        <w:t xml:space="preserve">7. </w:t>
      </w:r>
      <w:r>
        <w:t>Penetration test executive summary</w:t>
      </w:r>
    </w:p>
    <w:p>
      <w:pPr>
        <w:pStyle w:val="ListParagraph"/>
      </w:pPr>
      <w:r>
        <w:t xml:space="preserve">8. </w:t>
      </w:r>
      <w:r>
        <w:t>Incident response plan and breach notification procedures</w:t>
      </w:r>
    </w:p>
    <w:p/>
    <w:p>
      <w:pPr>
        <w:pStyle w:val="Heading3"/>
      </w:pPr>
      <w:r>
        <w:t>Bank Secrecy Act Technology Integration</w:t>
      </w:r>
    </w:p>
    <w:p>
      <w:r>
        <w:t>For platforms providing transaction monitoring or AML functionality:</w:t>
      </w:r>
    </w:p>
    <w:p>
      <w:pPr>
        <w:pStyle w:val="ListParagraph"/>
      </w:pPr>
      <w:r>
        <w:t>FinCEN registration documentation</w:t>
      </w:r>
    </w:p>
    <w:p>
      <w:pPr>
        <w:pStyle w:val="ListParagraph"/>
      </w:pPr>
      <w:r>
        <w:t>SAR filing integration testing protocol</w:t>
      </w:r>
    </w:p>
    <w:p>
      <w:pPr>
        <w:pStyle w:val="ListParagraph"/>
      </w:pPr>
      <w:r>
        <w:t>CTR threshold configuration documentation</w:t>
      </w:r>
    </w:p>
    <w:p>
      <w:pPr>
        <w:pStyle w:val="ListParagraph"/>
      </w:pPr>
      <w:r>
        <w:t>OFAC screening integration verification</w:t>
      </w:r>
    </w:p>
    <w:p/>
    <w:p>
      <w:r>
        <w:t>---</w:t>
      </w:r>
    </w:p>
    <w:p/>
    <w:p>
      <w:pPr>
        <w:pStyle w:val="Heading1"/>
      </w:pPr>
      <w:r>
        <w:t>SECTION 4: SALES ENABLEMENT &amp; REVENUE OPERATIONS</w:t>
      </w:r>
    </w:p>
    <w:p/>
    <w:p>
      <w:pPr>
        <w:pStyle w:val="Heading2"/>
      </w:pPr>
      <w:r>
        <w:t>4.1 Enterprise Sales Playbook</w:t>
      </w:r>
    </w:p>
    <w:p/>
    <w:p>
      <w:pPr>
        <w:pStyle w:val="Heading3"/>
      </w:pPr>
      <w:r>
        <w:t>Discovery Call Framework (45 minutes)</w:t>
      </w:r>
    </w:p>
    <w:p/>
    <w:p>
      <w:r/>
      <w:r>
        <w:rPr>
          <w:b/>
        </w:rPr>
        <w:t>Minutes 0–5: Executive Alignment</w:t>
      </w:r>
      <w:r/>
    </w:p>
    <w:p>
      <w:r>
        <w:t>Confirm attendees, agenda, and desired outcomes. Ask: "What does a successful outcome from today look like for you?"</w:t>
      </w:r>
    </w:p>
    <w:p/>
    <w:p>
      <w:r/>
      <w:r>
        <w:rPr>
          <w:b/>
        </w:rPr>
        <w:t>Minutes 5–20: Problem Discovery</w:t>
      </w:r>
      <w:r/>
    </w:p>
    <w:p>
      <w:pPr>
        <w:pStyle w:val="ListParagraph"/>
      </w:pPr>
      <w:r>
        <w:t>"Walk me through your current documentation and compliance workflow."</w:t>
      </w:r>
    </w:p>
    <w:p>
      <w:pPr>
        <w:pStyle w:val="ListParagraph"/>
      </w:pPr>
      <w:r>
        <w:t>"Where are the biggest delays in your enterprise sales cycle?"</w:t>
      </w:r>
    </w:p>
    <w:p>
      <w:pPr>
        <w:pStyle w:val="ListParagraph"/>
      </w:pPr>
      <w:r>
        <w:t>"What compliance reviews have you failed or been delayed by in the last 12 months?"</w:t>
      </w:r>
    </w:p>
    <w:p>
      <w:pPr>
        <w:pStyle w:val="ListParagraph"/>
      </w:pPr>
      <w:r>
        <w:t>"What's the cost to your business of a 30-day delay in closing an enterprise deal?"</w:t>
      </w:r>
    </w:p>
    <w:p/>
    <w:p>
      <w:r/>
      <w:r>
        <w:rPr>
          <w:b/>
        </w:rPr>
        <w:t>Minutes 20–35: Solution Presentation</w:t>
      </w:r>
      <w:r/>
    </w:p>
    <w:p>
      <w:pPr>
        <w:pStyle w:val="ListParagraph"/>
      </w:pPr>
      <w:r>
        <w:t>Present the three-asset package aligned to their specific pain</w:t>
      </w:r>
    </w:p>
    <w:p>
      <w:pPr>
        <w:pStyle w:val="ListParagraph"/>
      </w:pPr>
      <w:r>
        <w:t>Share relevant case study (by industry/stage)</w:t>
      </w:r>
    </w:p>
    <w:p>
      <w:pPr>
        <w:pStyle w:val="ListParagraph"/>
      </w:pPr>
      <w:r>
        <w:t>Demonstrate 48-hour delivery capability</w:t>
      </w:r>
    </w:p>
    <w:p/>
    <w:p>
      <w:r/>
      <w:r>
        <w:rPr>
          <w:b/>
        </w:rPr>
        <w:t>Minutes 35–45: Qualification &amp; Next Steps</w:t>
      </w:r>
      <w:r/>
    </w:p>
    <w:p>
      <w:pPr>
        <w:pStyle w:val="ListParagraph"/>
      </w:pPr>
      <w:r>
        <w:t>Confirm budget authority</w:t>
      </w:r>
    </w:p>
    <w:p>
      <w:pPr>
        <w:pStyle w:val="ListParagraph"/>
      </w:pPr>
      <w:r>
        <w:t>Identify decision-making process</w:t>
      </w:r>
    </w:p>
    <w:p>
      <w:pPr>
        <w:pStyle w:val="ListParagraph"/>
      </w:pPr>
      <w:r>
        <w:t>Propose next step (proposal delivery within 4 hours)</w:t>
      </w:r>
    </w:p>
    <w:p/>
    <w:p>
      <w:pPr>
        <w:pStyle w:val="Heading3"/>
      </w:pPr>
      <w:r>
        <w:t>Pricing Psychology &amp; Negotiation Framework</w:t>
      </w:r>
    </w:p>
    <w:p/>
    <w:p>
      <w:r/>
      <w:r>
        <w:rPr>
          <w:b/>
        </w:rPr>
        <w:t>Anchor High, Justify with ROI:</w:t>
      </w:r>
      <w:r/>
    </w:p>
    <w:p>
      <w:r>
        <w:t>Opening price: $4,500 (Enterprise package)</w:t>
      </w:r>
    </w:p>
    <w:p>
      <w:r>
        <w:t>ROI justification: "One enterprise deal closed 30 days sooner pays for this 10–50x."</w:t>
      </w:r>
    </w:p>
    <w:p/>
    <w:p>
      <w:r/>
      <w:r>
        <w:rPr>
          <w:b/>
        </w:rPr>
        <w:t>Concession Sequence:</w:t>
      </w:r>
      <w:r/>
    </w:p>
    <w:p>
      <w:pPr>
        <w:pStyle w:val="ListParagraph"/>
      </w:pPr>
      <w:r>
        <w:t xml:space="preserve">1. </w:t>
      </w:r>
      <w:r>
        <w:t>First concession: Add one additional revision round (costs you nothing)</w:t>
      </w:r>
    </w:p>
    <w:p>
      <w:pPr>
        <w:pStyle w:val="ListParagraph"/>
      </w:pPr>
      <w:r>
        <w:t xml:space="preserve">2. </w:t>
      </w:r>
      <w:r>
        <w:t>Second concession: Include social media asset pack ($0 credit cost)</w:t>
      </w:r>
    </w:p>
    <w:p>
      <w:pPr>
        <w:pStyle w:val="ListParagraph"/>
      </w:pPr>
      <w:r>
        <w:t xml:space="preserve">3. </w:t>
      </w:r>
      <w:r>
        <w:t>Third concession: Offer retainer at $1,500/month vs. $2,000 (only if deal size warrants)</w:t>
      </w:r>
    </w:p>
    <w:p>
      <w:pPr>
        <w:pStyle w:val="ListParagraph"/>
      </w:pPr>
      <w:r>
        <w:t xml:space="preserve">4. </w:t>
      </w:r>
      <w:r>
        <w:t>Hard floor: Never below $2,000 for full package</w:t>
      </w:r>
    </w:p>
    <w:p/>
    <w:p>
      <w:r>
        <w:t>---</w:t>
      </w:r>
    </w:p>
    <w:p/>
    <w:p>
      <w:pPr>
        <w:pStyle w:val="Heading2"/>
      </w:pPr>
      <w:r>
        <w:t>4.2 Key Performance Indicators (KPIs)</w:t>
      </w:r>
    </w:p>
    <w:p/>
    <w:p>
      <w:pPr>
        <w:pStyle w:val="Heading3"/>
      </w:pPr>
      <w:r>
        <w:t>Sales Metrics</w:t>
      </w:r>
    </w:p>
    <w:p>
      <w:r>
        <w:t>| KPI | Target | Measurement Frequency |</w:t>
      </w:r>
    </w:p>
    <w:p>
      <w:r>
        <w:t>|-----|--------|-----------------------|</w:t>
      </w:r>
    </w:p>
    <w:p>
      <w:r>
        <w:t>| Outreach contacts/week | 30–50 | Weekly |</w:t>
      </w:r>
    </w:p>
    <w:p>
      <w:r>
        <w:t>| Connection rate (LinkedIn) | 20–30% | Weekly |</w:t>
      </w:r>
    </w:p>
    <w:p>
      <w:r>
        <w:t>| Reply rate (cold email) | 8–15% | Weekly |</w:t>
      </w:r>
    </w:p>
    <w:p>
      <w:r>
        <w:t>| Discovery call conversion | 25–40% | Monthly |</w:t>
      </w:r>
    </w:p>
    <w:p>
      <w:r>
        <w:t>| Close rate from discovery | 20–35% | Monthly |</w:t>
      </w:r>
    </w:p>
    <w:p>
      <w:r>
        <w:t>| Average deal size | $2,500–$4,500 | Monthly |</w:t>
      </w:r>
    </w:p>
    <w:p>
      <w:r>
        <w:t>| Monthly revenue target | $15,000–$45,000 | Monthly |</w:t>
      </w:r>
    </w:p>
    <w:p/>
    <w:p>
      <w:pPr>
        <w:pStyle w:val="Heading3"/>
      </w:pPr>
      <w:r>
        <w:t>Delivery Metrics</w:t>
      </w:r>
    </w:p>
    <w:p>
      <w:r>
        <w:t>| KPI | Target | Measurement Frequency |</w:t>
      </w:r>
    </w:p>
    <w:p>
      <w:r>
        <w:t>|-----|--------|-----------------------|</w:t>
      </w:r>
    </w:p>
    <w:p>
      <w:r>
        <w:t>| Report delivery time | Under 48 hours | Per project |</w:t>
      </w:r>
    </w:p>
    <w:p>
      <w:r>
        <w:t>| Client revision requests | Under 1.5/project | Monthly |</w:t>
      </w:r>
    </w:p>
    <w:p>
      <w:r>
        <w:t>| Client satisfaction score | 4.7+/5.0 | Per project |</w:t>
      </w:r>
    </w:p>
    <w:p>
      <w:r>
        <w:t>| Retainer conversion rate | 25–35% | Quarterly |</w:t>
      </w:r>
    </w:p>
    <w:p/>
    <w:p>
      <w:r>
        <w:t>---</w:t>
      </w:r>
    </w:p>
    <w:p/>
    <w:p>
      <w:pPr>
        <w:pStyle w:val="Heading1"/>
      </w:pPr>
      <w:r>
        <w:t>SECTION 5: TECHNOLOGY STACK RECOMMENDATIONS</w:t>
      </w:r>
    </w:p>
    <w:p/>
    <w:p>
      <w:pPr>
        <w:pStyle w:val="Heading2"/>
      </w:pPr>
      <w:r>
        <w:t>5.1 Compliance Technology Architecture</w:t>
      </w:r>
    </w:p>
    <w:p/>
    <w:p>
      <w:pPr>
        <w:pStyle w:val="Heading3"/>
      </w:pPr>
      <w:r>
        <w:t>Core Infrastructure Requirements</w:t>
      </w:r>
    </w:p>
    <w:p>
      <w:r>
        <w:t>For FinTech and SaaS companies handling financial data, the recommended minimum technology stack includes:</w:t>
      </w:r>
    </w:p>
    <w:p/>
    <w:p>
      <w:r/>
      <w:r>
        <w:rPr>
          <w:b/>
        </w:rPr>
        <w:t>Identity &amp; Access Management:</w:t>
      </w:r>
      <w:r/>
    </w:p>
    <w:p>
      <w:pPr>
        <w:pStyle w:val="ListParagraph"/>
      </w:pPr>
      <w:r>
        <w:t>Multi-factor authentication (MFA) enforcement: Required</w:t>
      </w:r>
    </w:p>
    <w:p>
      <w:pPr>
        <w:pStyle w:val="ListParagraph"/>
      </w:pPr>
      <w:r>
        <w:t>Single Sign-On (SSO) via SAML 2.0 or OIDC: Recommended</w:t>
      </w:r>
    </w:p>
    <w:p>
      <w:pPr>
        <w:pStyle w:val="ListParagraph"/>
      </w:pPr>
      <w:r>
        <w:t>Privileged Access Management (PAM): Required for SOC 2</w:t>
      </w:r>
    </w:p>
    <w:p/>
    <w:p>
      <w:r/>
      <w:r>
        <w:rPr>
          <w:b/>
        </w:rPr>
        <w:t>Data Security:</w:t>
      </w:r>
      <w:r/>
    </w:p>
    <w:p>
      <w:pPr>
        <w:pStyle w:val="ListParagraph"/>
      </w:pPr>
      <w:r>
        <w:t>Encryption at rest: AES-256 minimum</w:t>
      </w:r>
    </w:p>
    <w:p>
      <w:pPr>
        <w:pStyle w:val="ListParagraph"/>
      </w:pPr>
      <w:r>
        <w:t>Encryption in transit: TLS 1.2 minimum, TLS 1.3 recommended</w:t>
      </w:r>
    </w:p>
    <w:p>
      <w:pPr>
        <w:pStyle w:val="ListParagraph"/>
      </w:pPr>
      <w:r>
        <w:t>Key Management Service: AWS KMS, Azure Key Vault, or HashiCorp Vault</w:t>
      </w:r>
    </w:p>
    <w:p>
      <w:pPr>
        <w:pStyle w:val="ListParagraph"/>
      </w:pPr>
      <w:r>
        <w:t>Database activity monitoring: Required for financial data</w:t>
      </w:r>
    </w:p>
    <w:p/>
    <w:p>
      <w:r/>
      <w:r>
        <w:rPr>
          <w:b/>
        </w:rPr>
        <w:t>Audit &amp; Logging:</w:t>
      </w:r>
      <w:r/>
    </w:p>
    <w:p>
      <w:pPr>
        <w:pStyle w:val="ListParagraph"/>
      </w:pPr>
      <w:r>
        <w:t>Immutable audit log: Required for regulatory compliance</w:t>
      </w:r>
    </w:p>
    <w:p>
      <w:pPr>
        <w:pStyle w:val="ListParagraph"/>
      </w:pPr>
      <w:r>
        <w:t>Log retention: 7 years minimum for financial records</w:t>
      </w:r>
    </w:p>
    <w:p>
      <w:pPr>
        <w:pStyle w:val="ListParagraph"/>
      </w:pPr>
      <w:r>
        <w:t>SIEM integration: Recommended for Series B+</w:t>
      </w:r>
    </w:p>
    <w:p>
      <w:pPr>
        <w:pStyle w:val="ListParagraph"/>
      </w:pPr>
      <w:r>
        <w:t>Real-time alerting: Required for breach detection</w:t>
      </w:r>
    </w:p>
    <w:p/>
    <w:p>
      <w:r>
        <w:t>---</w:t>
      </w:r>
    </w:p>
    <w:p/>
    <w:p>
      <w:pPr>
        <w:pStyle w:val="Heading1"/>
      </w:pPr>
      <w:r>
        <w:t>SECTION 6: FINANCIAL PROJECTIONS &amp; ROI ANALYSIS</w:t>
      </w:r>
    </w:p>
    <w:p/>
    <w:p>
      <w:pPr>
        <w:pStyle w:val="Heading2"/>
      </w:pPr>
      <w:r>
        <w:t>6.1 Documentation ROI Model</w:t>
      </w:r>
    </w:p>
    <w:p/>
    <w:p>
      <w:pPr>
        <w:pStyle w:val="Heading3"/>
      </w:pPr>
      <w:r>
        <w:t>Cost of Poor Documentation</w:t>
      </w:r>
    </w:p>
    <w:p>
      <w:r>
        <w:t>| Scenario | Direct Cost | Probability | Expected Cost |</w:t>
      </w:r>
    </w:p>
    <w:p>
      <w:r>
        <w:t>|----------|-------------|-------------|---------------|</w:t>
      </w:r>
    </w:p>
    <w:p>
      <w:r>
        <w:t>| Enterprise deal lost to competitor with better docs | $150,000 ARR | 20% | $30,000 |</w:t>
      </w:r>
    </w:p>
    <w:p>
      <w:r>
        <w:t>| 60-day sales cycle extension | $25,000 opportunity cost | 40% | $10,000 |</w:t>
      </w:r>
    </w:p>
    <w:p>
      <w:r>
        <w:t>| Failed compliance audit (medium severity) | $50,000–$500,000 | 10% | $55,000 |</w:t>
      </w:r>
    </w:p>
    <w:p>
      <w:r>
        <w:t>| Data breach without documented IRP | $200,000 average | 5% | $10,000 |</w:t>
      </w:r>
    </w:p>
    <w:p>
      <w:r>
        <w:t xml:space="preserve">| </w:t>
      </w:r>
      <w:r>
        <w:rPr>
          <w:b/>
        </w:rPr>
        <w:t>Annual expected cost of poor documentation</w:t>
      </w:r>
      <w:r>
        <w:t xml:space="preserve"> | | | </w:t>
      </w:r>
      <w:r>
        <w:rPr>
          <w:b/>
        </w:rPr>
        <w:t>$105,000</w:t>
      </w:r>
      <w:r>
        <w:t xml:space="preserve"> |</w:t>
      </w:r>
    </w:p>
    <w:p/>
    <w:p>
      <w:pPr>
        <w:pStyle w:val="Heading3"/>
      </w:pPr>
      <w:r>
        <w:t>Investment vs. Return</w:t>
      </w:r>
    </w:p>
    <w:p>
      <w:r>
        <w:t>| Investment | Cost | Annual ROI |</w:t>
      </w:r>
    </w:p>
    <w:p>
      <w:r>
        <w:t>|------------|------|------------|</w:t>
      </w:r>
    </w:p>
    <w:p>
      <w:r>
        <w:t>| MedCore Enterprise Package | $4,500 | 2,233% |</w:t>
      </w:r>
    </w:p>
    <w:p>
      <w:r>
        <w:t>| MedCore Pro Package | $2,500 | 4,100% |</w:t>
      </w:r>
    </w:p>
    <w:p>
      <w:r>
        <w:t>| MedCore Retainer (annual) | $18,000 | 483% |</w:t>
      </w:r>
    </w:p>
    <w:p/>
    <w:p>
      <w:r>
        <w:t>---</w:t>
      </w:r>
    </w:p>
    <w:p/>
    <w:p>
      <w:pPr>
        <w:pStyle w:val="Heading1"/>
      </w:pPr>
      <w:r>
        <w:t>CONCLUSION &amp; RECOMMENDATIONS</w:t>
      </w:r>
    </w:p>
    <w:p/>
    <w:p>
      <w:r>
        <w:t>VaultEdge Capital Solutions is positioned to capitalize on the growing demand for enterprise-grade compliance documentation in the SaaS and FinTech sectors. Based on this analysis, we recommend a phased approach:</w:t>
      </w:r>
    </w:p>
    <w:p/>
    <w:p>
      <w:r/>
      <w:r>
        <w:rPr>
          <w:b/>
        </w:rPr>
        <w:t>Phase 1 (Months 1–3):</w:t>
      </w:r>
      <w:r>
        <w:t xml:space="preserve"> Deploy complete documentation stack — compliance report, capabilities deck, and explainer video. Begin enterprise outreach with documentation as lead magnet.</w:t>
      </w:r>
    </w:p>
    <w:p/>
    <w:p>
      <w:r/>
      <w:r>
        <w:rPr>
          <w:b/>
        </w:rPr>
        <w:t>Phase 2 (Months 4–6):</w:t>
      </w:r>
      <w:r>
        <w:t xml:space="preserve"> Convert first 3–5 clients to quarterly retainer model. Use referrals to expand into banking and insurance verticals.</w:t>
      </w:r>
    </w:p>
    <w:p/>
    <w:p>
      <w:r/>
      <w:r>
        <w:rPr>
          <w:b/>
        </w:rPr>
        <w:t>Phase 3 (Months 7–12):</w:t>
      </w:r>
      <w:r>
        <w:t xml:space="preserve"> Build proprietary compliance update subscription (newsletter + quarterly reports). Scale to 10–20 retainer clients = $20,000–$40,000 MRR.</w:t>
      </w:r>
    </w:p>
    <w:p/>
    <w:p>
      <w:r>
        <w:t>---</w:t>
      </w:r>
    </w:p>
    <w:p/>
    <w:p>
      <w:r/>
      <w:r>
        <w:rPr>
          <w:i/>
        </w:rPr>
        <w:t>Report prepared by MedCore Compliance Solutions | Data current as of Q2 2025</w:t>
      </w:r>
      <w:r/>
    </w:p>
    <w:p>
      <w:r/>
      <w:r>
        <w:rPr>
          <w:i/>
        </w:rPr>
        <w:t>Sources: CFPB, SEC, FINRA, FinCEN, PCI Security Standards Council, Gartner, IDC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96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C3E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Subtitle">
    <w:name w:val="Book Subtitle"/>
    <w:pPr>
      <w:spacing w:before="240" w:after="720"/>
      <w:jc w:val="center"/>
    </w:pPr>
    <w:rPr>
      <w:rFonts w:ascii="Calibri" w:hAnsi="Calibri"/>
      <w:i/>
      <w:color w:val="34495E"/>
      <w:sz w:val="28"/>
    </w:rPr>
  </w:style>
  <w:style w:type="paragraph" w:customStyle="1" w:styleId="ImageCaption">
    <w:name w:val="Image Caption"/>
    <w:pPr>
      <w:spacing w:before="120" w:after="240"/>
      <w:jc w:val="center"/>
    </w:pPr>
    <w:rPr>
      <w:rFonts w:ascii="Calibri" w:hAnsi="Calibri"/>
      <w:i/>
      <w:color w:val="666666"/>
      <w:sz w:val="18"/>
    </w:rPr>
  </w:style>
  <w:style w:type="paragraph" w:customStyle="1" w:styleId="BookQuote">
    <w:name w:val="Book Quote"/>
    <w:pPr>
      <w:spacing w:before="240" w:after="240"/>
      <w:ind w:left="720" w:right="720"/>
      <w:jc w:val="center"/>
    </w:pPr>
    <w:rPr>
      <w:rFonts w:ascii="Calibri" w:hAnsi="Calibri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