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8"/>
          <w:szCs w:val="48"/>
        </w:rPr>
        <w:t xml:space="preserve">BigTechGroup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Финансово-операционный профиль</w:t>
      </w:r>
    </w:p>
    <w:p>
      <w:pPr>
        <w:spacing w:before="0"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0"/>
          <w:szCs w:val="20"/>
        </w:rPr>
        <w:t xml:space="preserve">Данные для AI-ассистента стратегических решений · Март 2026 · Синтетический датасет</w:t>
      </w:r>
    </w:p>
    <w:p>
      <w:pPr>
        <w:pBdr>
          <w:bottom w:val="single" w:color="CCCCCC" w:sz="2"/>
        </w:pBdr>
        <w:spacing w:before="40" w:after="4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B7770D"/>
          <w:sz w:val="20"/>
          <w:szCs w:val="20"/>
        </w:rPr>
        <w:t xml:space="preserve">⚑  Все данные синтетические, подготовлены для хакатона AI Sooouth 2026. Цифры реалистичны для топ-5 российского продовольственного ритейла, но не отражают реальные показатели ни одной компании.</w:t>
      </w:r>
    </w:p>
    <w:p>
      <w:pPr>
        <w:spacing w:before="16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34"/>
          <w:szCs w:val="34"/>
        </w:rPr>
        <w:t xml:space="preserve">1. P&amp;L верхнего уровня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Компания входит в топ-5 российского продовольственного ритейла. Основной формат — гипермаркеты и супермаркеты, дополненные быстро растущим онлайн-каналом. EBITDA-маржа на уровне отраслевого медианы, чистая прибыль под давлением из-за роста OPEX на цифровизацию и логистику.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1000"/>
        <w:gridCol w:w="1000"/>
        <w:gridCol w:w="2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9026"/>
            <w:gridSpan w:val="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ВЫРУЧКА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Общая выручка, млрд 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87.4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102.1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119.6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CAGR 2022–2025 +11%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— Офлайн, млрд 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76.8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86.3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94.8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79% выручки; рост замедляется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— Онлайн, млрд 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15.8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24.8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+57% г/г; целевая доля 30% к 2027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— Доля онлайн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12.1%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15.5%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20.7%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Растёт, но инфраструктура не успевает</w:t>
            </w:r>
          </w:p>
        </w:tc>
      </w:tr>
      <w:tr>
        <w:tc>
          <w:tcPr>
            <w:tcW w:type="dxa" w:w="9026"/>
            <w:gridSpan w:val="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ВАЛОВАЯ ПРИБЫЛЬ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Валовая прибыль, млрд 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18.4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26.8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Валовая маржа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21.1%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21.6%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22.4%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Умеренный рост за счёт онлайн-микса</w:t>
            </w:r>
          </w:p>
        </w:tc>
      </w:tr>
      <w:tr>
        <w:tc>
          <w:tcPr>
            <w:tcW w:type="dxa" w:w="9026"/>
            <w:gridSpan w:val="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EBITDA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EBITDA, млрд 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5.62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7.17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5.5%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5.5%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Отраслевой медиан: 5–7%</w:t>
            </w:r>
          </w:p>
        </w:tc>
      </w:tr>
      <w:tr>
        <w:tc>
          <w:tcPr>
            <w:tcW w:type="dxa" w:w="9026"/>
            <w:gridSpan w:val="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ЧИСТАЯ ПРИБЫЛЬ / УБЫТОК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Чистая прибыль, млрд 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2.81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Margin ~2.4%; под давлением OPEX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Чистая маржа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2.4%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СТРУКТУРА OPEX (% от выручки)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Логистика и склад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8.4%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Снижается благодаря автоматизации РЦ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Персонал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7.1%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7.0%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Аренда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IT и цифровые сервисы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0.52%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0.58%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0.64%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Растёт. Включает ML/AI инфраструктуру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Маркетинг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Рост из-за онлайн-продвижения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1B4F8A"/>
          <w:sz w:val="20"/>
          <w:szCs w:val="20"/>
        </w:rPr>
        <w:t xml:space="preserve">⚑  2025 — плановый год. Фактические данные будут доступны в апреле 2026. Прогноз выручки: 138–142 млрд ₽. Прогноз EBITDA: 8.2–8.6 млрд ₽.</w:t>
      </w:r>
    </w:p>
    <w:p>
      <w:pPr>
        <w:spacing w:before="16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34"/>
          <w:szCs w:val="34"/>
        </w:rPr>
        <w:t xml:space="preserve">2. Юнит-экономика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Ключевые метрики на уровне транзакции, клиента и SKU. Данные по онлайн-каналу выделены отдельно, так как именно там живёт AI-система персонализации.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2.1 Транзакционные 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6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Офлайн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Онлайн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 онлайн/офлайн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Тренд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Средний чек (AOV), 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1 240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3 870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+212%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Онлайн стабильно выше: больше SKU в корзине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Частота покупок, раз/мес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5.8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−64%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Онлайн — реже, но чек выше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Конверсия посещение→покупка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71%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Принципиально разные воронки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Конверсия из рекомендации в покупку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2.4%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↓ с 3.1% (пилот Q1 2025); деградация модели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Возврат товара, % от заказов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+2.8пп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Онлайн-возвраты влияют на SLA и маржу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Отмена заказа до доставки,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Растёт при ухудшении SLA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2.2 Клиентские метрики (онлайн)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Активных онлайн-клиентов (LTM)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6.4 млн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Уникальных покупателей за последние 12 мес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MAU приложение + сайт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14.2 млн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Включает браузинг без покупки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Доля клиентов с персонализацией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38%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Пилотный охват; при масштабировании → 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CAC онлайн (привлечение), 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680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Включает маркетинг + промо на первый заказ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LTV 12 мес, онлайн, 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7 200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Выручка, не маржа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LTV 12 мес, с персонализацией, 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8 640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+20% vs без персонализации (данные пилота, Q1 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Отток (churn) онлайн, 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3.1%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Ежемесячный; при ухудшении UX растёт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NPS онлайн-канала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Ниже, чем у лидера рынка (58). Чувствителен к SLA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2.3 Товарные метрики (сеть)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2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Норматив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Факт Q1 2026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Кол-во активных SKU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68 400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On-shelf availability (офлайн)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≥ 97.0%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96.4%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⚠ Ниже нормы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Out-of-stock rate (онлайн)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&lt; 3.5%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4.1%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✗ Выше нормы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Уровень списаний, % от выручки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&lt; 1.2%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1.31%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⚠ Выше нормы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Оборачиваемость запасов, дни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30–35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⚠ Выше нормы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Доля SKU с персонализир. спросом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22%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Алгоритм влияет на 22% ассортимента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20"/>
          <w:szCs w:val="20"/>
        </w:rPr>
        <w:t xml:space="preserve">⚑  OOS и on-shelf availability уже за пределами нормы до масштабирования. Рост онлайн-заказов на 20% ухудшит оба показателя дополнительно.</w:t>
      </w:r>
    </w:p>
    <w:p>
      <w:pPr>
        <w:spacing w:before="16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34"/>
          <w:szCs w:val="34"/>
        </w:rPr>
        <w:t xml:space="preserve">3. CAPEX-план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Компания исторически инвестирует ~3.5% выручки в CAPEX. Основные статьи — склады и логистика, торговые площади, IT и цифровая инфраструктура. В 2025–2026 доля IT растёт из-за программы цифровой трансформации.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3.1 Общий CAPEX по направлениям, млрд 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2023 факт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2024 факт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2025 план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2026 план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ИТОГО CAPEX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3.60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4.20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4.80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5.10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~3.5–3.6% от выручки</w:t>
            </w:r>
          </w:p>
        </w:tc>
      </w:tr>
      <w:tr>
        <w:tc>
          <w:tcPr>
            <w:tcW w:type="dxa" w:w="9026"/>
            <w:gridSpan w:val="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Торговая инфраструктура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Новые магазины и реконцепция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1.75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Замедление: фокус на онлайн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Склады и РЦ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1.10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Приоритет: расширение онлайн-РЦ</w:t>
            </w:r>
          </w:p>
        </w:tc>
      </w:tr>
      <w:tr>
        <w:tc>
          <w:tcPr>
            <w:tcW w:type="dxa" w:w="9026"/>
            <w:gridSpan w:val="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 и цифровая инфраструктура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IT инфраструктура (серверы, сети)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0.90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Рост из-за AI-нагрузки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  — из них ML/AI системы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0.41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CAGR +43%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ERP и корп. системы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Цифровые продукты (app, сайт)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Прочее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Оборудование торговых залов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0.62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Прочие инвестиции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0.28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3.2 Бюджет проекта масштабирования AI-персонализации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Проект выделен в отдельный CAPEX-пакет на 2025–2026 гг. Утверждён советом директоров в Q4 2024. Разбивка по статьям: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Статья бюджета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Сумма, млн 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от бюджета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 при CAPEX −30%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ИТОГО бюджет проекта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340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100%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При −30% остаток: 238 млн 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Инфраструктура (серверы / облако)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55.9%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✗ Главная жертва сокращения. Без неё масштаб невозможен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Переобучение модели + MLOps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25.0%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✗ Без переобучения: +40% ошибочных рекомендаций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Интеграция + 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11.8%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⚠ Можно сжать, но увеличивает технический долг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Резерв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7.4%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Первое, что исчезает при сокращении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20"/>
          <w:szCs w:val="20"/>
        </w:rPr>
        <w:t xml:space="preserve">⚑  При сокращении CAPEX на 30% (−102 млн ₽): инфраструктурная часть не обеспечивает нужную вычислительную мощность для федерального масштаба. Payback растёт с 10 до ~16 месяцев.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3.3 Финансовая модель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Базовый сценарий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 CAPEX −30%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 деградации модели +40%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Бюджет проекта, млн 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238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340 (но эффект снижается)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Доп. выручка год 1, млн 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290–330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210–240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Доп. выручка год 2, млн 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480–520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380–420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Payback, месяцев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15–17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19–22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ROI 24 мес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3.8×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2.3×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1.9×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EBITDA impact, млн ₽/год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+90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+60</w:t>
            </w:r>
          </w:p>
        </w:tc>
      </w:tr>
    </w:tbl>
    <w:p>
      <w:pPr>
        <w:spacing w:before="16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34"/>
          <w:szCs w:val="34"/>
        </w:rPr>
        <w:t xml:space="preserve">4. Операционные KPI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Операционка — это то, что ломается первым при масштабировании онлайна без подготовки инфраструктуры. Ниже — текущее состояние и прогнозы при +20% онлайн-заказов (ожидаемый эффект от федерального масштабирования персонализации).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4.1 Логистика и доставка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8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Норматив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Факт Q1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Прогноз +20% заказов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Стоимость отклонения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SLA поставок (% в срок)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≥ 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94.8%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92.0%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~90 млн ₽/год за каждый −1 пп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SLA next-day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≥ 88%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86.3%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81.0%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NPS падает на ~3 пункта за каждый −5 пп 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Среднее время доставки,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&lt; 24 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21.4 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28–32 ч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Время обработки заказа в РЦ,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&lt; 2 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2.4 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3.1–3.8 ч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SLA уже нарушается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Чувствительность SLA к объёму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−0.14 пп / +1% заказов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Линейная зависимость по истории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4.2 Распределительные центры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4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Норматив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Факт Q1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Прогноз +20%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Загрузка РЦ (% от максимума)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&lt; 85%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~99%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Практически нет резерва. Пиковые дни уже &gt;100%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Пиковая нагрузка (Q4, пп выше сред.)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+22 пп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+22 пп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+22 пп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Пики не изменятся — они умножатся на больший базис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Кол-во онлайн-РЦ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9-й строится; ввод Q4 2026 — слишком поздно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Уровень автоматизации сборки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41%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Инвестиции в автоматизацию идут параллельно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4.3 Доступность товара и потери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4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Норматив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Факт Q1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Прогноз +20%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Финансовые потери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Out-of-stock rate (онлайн)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&lt; 3.5%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5.8–6.5%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~150 млн ₽ за каждый +1 пп OOS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On-shelf availability (офлайн)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≥ 97.0%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96.4%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95.8%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Тянет за собой OOS офлайн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Выручка под риском OOS, млн ₽/год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870–980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При −30% CAPEX ещё хуже: нет переобучения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Списания, % от выручки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&lt; 1.2%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1.31%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1.45%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~185 млн ₽/год сверх нормы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6"/>
          <w:szCs w:val="26"/>
        </w:rPr>
        <w:t xml:space="preserve">4.4 Сводка финансовых потерь от операционных отклонений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3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Источник потерь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Текущие потери, млн ₽/год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Прогноз при +20% заказов, млн ₽/год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SLA ниже нормы (94.8% vs 95%)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~18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~270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Out-of-stock онлайн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620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870–980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Списания сверх нормы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130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Отмены и возвраты из-за 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~45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~130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ИТОГО операционных потерь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~813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0"/>
                <w:szCs w:val="20"/>
              </w:rPr>
              <w:t xml:space="preserve">~1 430–1 565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20"/>
          <w:szCs w:val="20"/>
        </w:rPr>
        <w:t xml:space="preserve">⚑  Суммарные операционные потери при масштабировании без подготовки инфраструктуры: ~1.4–1.6 млрд ₽/год. Это перекрывает прогнозную доп. выручку от персонализации (480 млн ₽ в год 1) даже в базовом сценарии.</w:t>
      </w:r>
    </w:p>
    <w:p>
      <w:pPr>
        <w:spacing w:before="16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34"/>
          <w:szCs w:val="34"/>
        </w:rPr>
        <w:t xml:space="preserve">5. Рыночный контекст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400"/>
        <w:gridCol w:w="2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BigTechGroup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Конкурент A (лидер)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Конкурент 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Доля рынка (онлайн + офлайн)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8.3%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11.2%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6.7%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Разрыв с лидером растёт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Темп роста доли (г/г)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+0.4 пп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+1.1 пп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+0.3 пп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BigTechGroup теряет темп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Доля онлайна в выручке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20.7%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Конкурент A значительно опережает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Рост онлайн-выручки г/г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+57%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+52%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+28%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BigTechGroup растёт быстро, но база меньше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Статус AI-персонализации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Пилот 2 года, деградация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Федеральный запуск Q4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Пилот, старт Q3 2026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Конкурент A уже работает на всей базе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Конверсия онлайн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5.4%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3.2%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Разрыв в конверсии = прямые потери выручки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NPS (онлайн-канал)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37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Чувствителен к SLA и качеству рекомендаций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Рыночное окно (оценка аналитиков)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6–9 мес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После — Конкурент A закрепится, догнать сложнее</w:t>
            </w:r>
          </w:p>
        </w:tc>
      </w:tr>
    </w:tbl>
    <w:p>
      <w:pPr>
        <w:spacing w:before="80" w:after="0"/>
      </w:pP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1B4F8A"/>
          <w:sz w:val="20"/>
          <w:szCs w:val="20"/>
        </w:rPr>
        <w:t xml:space="preserve">⚑  Конкурент A запустил AI-персонализацию федерально в Q4 2025. По независимым оценкам, uplift конверсии составил +2.8 пп. Если BigTechGroup закроет разрыв в конверсии хотя бы на 1 пп — это ~248 млн ₽/год доп. выручки.</w:t>
      </w:r>
    </w:p>
    <w:p>
      <w:pPr>
        <w:spacing w:before="16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34"/>
          <w:szCs w:val="34"/>
        </w:rPr>
        <w:t xml:space="preserve">6. Регуляторные ограничения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2"/>
          <w:szCs w:val="22"/>
        </w:rPr>
        <w:t xml:space="preserve">Персонализация = обработка персональных данных. Масштабирование без закрытия регуляторных хвостов — прямой путь к штрафам и PR-скандалу.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6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Срок устранения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Потенциальные последствия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152-ФЗ: согласие на обработку ПД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Частично закрыто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3–4 нед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До 500 тыс. ₽/случай + репутация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DPO-документация для онлайн-персонализации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Не готова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4–6 нед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Блокирует законный запуск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Передача данных в рекомендательные движки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Аудит не проведён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2–3 нед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Риск претензий от Роскомнадзора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Хранение и локализация данных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Соответствует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20"/>
                <w:szCs w:val="20"/>
              </w:rPr>
              <w:t xml:space="preserve">Закрыто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/>
          <w:iCs/>
          <w:color w:val="B7770D"/>
          <w:sz w:val="20"/>
          <w:szCs w:val="20"/>
        </w:rPr>
        <w:t xml:space="preserve">⚑  Минимальный регуляторный runway до запуска: 4–6 недель. Это не блокирует запуск как таковой, но должно быть вшито в план-график масштабирования.</w:t>
      </w:r>
    </w:p>
    <w:p>
      <w:pPr>
        <w:spacing w:before="160" w:after="0"/>
      </w:pPr>
    </w:p>
    <w:p>
      <w:pPr>
        <w:pBdr>
          <w:bottom w:val="single" w:color="CCCCCC" w:sz="2"/>
        </w:pBdr>
        <w:spacing w:before="40" w:after="40"/>
      </w:pP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Документ подготовлен для AI-ассистента стратегических решений. Данные синтетические, разработаны для хакатона AI Sooouth 2026 на основе публичных отраслевых бенчмарков российского продовольственного ритейла.</w:t>
      </w:r>
    </w:p>
    <w:sectPr>
      <w:footerReference w:type="default" r:id="rId6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BigTechGroup — Финансово-операционный профиль (синтетические данные)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A3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2026-03-12T16:58:43.881Z</dcterms:created>
  <dcterms:modified xsi:type="dcterms:W3CDTF">2026-03-12T16:58:43.881Z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