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BDB" w:rsidRDefault="007E4943">
      <w:r>
        <w:t xml:space="preserve">SnowEx Snow Microstructure from </w:t>
      </w:r>
      <w:proofErr w:type="spellStart"/>
      <w:r>
        <w:t>MicroCT</w:t>
      </w:r>
      <w:proofErr w:type="spellEnd"/>
      <w:r>
        <w:t xml:space="preserve"> Data User Guide</w:t>
      </w:r>
    </w:p>
    <w:p w:rsidR="007E4943" w:rsidRDefault="007E4943"/>
    <w:p w:rsidR="007E4943" w:rsidRDefault="007E4943">
      <w:r>
        <w:t>1 DATA DESCRIPTION</w:t>
      </w:r>
    </w:p>
    <w:p w:rsidR="007E4943" w:rsidRDefault="007E4943" w:rsidP="007E4943">
      <w:pPr>
        <w:pStyle w:val="ListParagraph"/>
        <w:numPr>
          <w:ilvl w:val="1"/>
          <w:numId w:val="1"/>
        </w:numPr>
      </w:pPr>
      <w:r>
        <w:t>Parameters</w:t>
      </w:r>
    </w:p>
    <w:p w:rsidR="00426060" w:rsidRDefault="00426060" w:rsidP="00426060">
      <w:r>
        <w:t>Snow microstructure samples were collected from 12 sampling locations between 3 Feb 2020 and 8 Feb 2020. Samples were collected along the full-depth profile from the snow surface to the ground in sample containers with a 10 cm</w:t>
      </w:r>
      <w:r w:rsidRPr="00426060">
        <w:rPr>
          <w:vertAlign w:val="superscript"/>
        </w:rPr>
        <w:t>2</w:t>
      </w:r>
      <w:r>
        <w:t xml:space="preserve"> horizontal cross-sectional area 18 cm in length. Each sample was collected with a 1 cm overlap in depth with the sample immediately above to ensure full coverage and to account for edge effects caused by cutting and manipulating the snow samples. About half of the pit samples were cast with an organic pore filler, dimethyl phthalate, which is used to preserve snow microstructure samples in transit. The pore filler is kept at a temperature of -20</w:t>
      </w:r>
      <w:r w:rsidRPr="00426060">
        <w:rPr>
          <w:rFonts w:cstheme="minorHAnsi"/>
        </w:rPr>
        <w:t>°</w:t>
      </w:r>
      <w:r>
        <w:t xml:space="preserve">C, just at the freezing temperature of the material, allowing for a mixture of both solid and liquid pore filler, and poured in stages into cut blocks of the snow samples. The pore filler was allowed to wick upwards into the snow block samples until the snow samples are completely saturated, and then the entire sample was frozen, aided by the addition of dry ice to accelerate the freezing process of the dimethyl phthalate. The remaining samples were left as pure snow, and stored and shipped back to the laboratory, along with the cast samples, using dry ice to maintain all the samples at as cold a temperature as possible. </w:t>
      </w:r>
    </w:p>
    <w:p w:rsidR="00426060" w:rsidRDefault="00426060" w:rsidP="00426060">
      <w:r>
        <w:t>At the lab, these sample volumes were further sub-sampled into volumes of 4 cm</w:t>
      </w:r>
      <w:r w:rsidRPr="00426060">
        <w:rPr>
          <w:vertAlign w:val="superscript"/>
        </w:rPr>
        <w:t>2</w:t>
      </w:r>
      <w:r>
        <w:t xml:space="preserve"> in the horizontal cross-section by 2 cm in length for imaging in the Cold Regions Research and Engineering Laboratory (CRREL) micro computed to</w:t>
      </w:r>
      <w:r w:rsidR="00BD0863">
        <w:t>mography (micro-CT) scanner (</w:t>
      </w:r>
      <w:r>
        <w:t xml:space="preserve">a cold-hardened Bruker </w:t>
      </w:r>
      <w:proofErr w:type="spellStart"/>
      <w:r>
        <w:t>SkyScan</w:t>
      </w:r>
      <w:proofErr w:type="spellEnd"/>
      <w:r>
        <w:t xml:space="preserve"> 1173) at a resolution of 20</w:t>
      </w:r>
      <w:r w:rsidR="006748FE">
        <w:t xml:space="preserve"> microns. The micro-CT scanner </w:t>
      </w:r>
      <w:r>
        <w:t xml:space="preserve">raw data is a series of greyscale x-ray images of the snow samples that are reconstructed in a three-dimensional point cloud representing the snow phase and the corresponding air phase. In the case of the cast samples, the micro-CT scanning is performed following the methods of </w:t>
      </w:r>
      <w:proofErr w:type="spellStart"/>
      <w:r>
        <w:t>Heggli</w:t>
      </w:r>
      <w:proofErr w:type="spellEnd"/>
      <w:r>
        <w:t xml:space="preserve"> et al. (2009) in which the cast sample is scanned as a solid block of pore filler and snow, and then the snow phase is sublimated within a desiccating vacuum chamber, after which the remaining pore filler phase is scanned within the micro-CT in order to recreate the snow phase without the bubbles in the pore filler typically formed in the casting process.  </w:t>
      </w:r>
      <w:r w:rsidR="00BD0863">
        <w:t xml:space="preserve">The ray micro-CT scans consist of a series of greyscale x-ray images, with greyscale values in the range of 0 to 255. </w:t>
      </w:r>
      <w:r>
        <w:t>Image segmentation of the multiphase cast samples</w:t>
      </w:r>
      <w:r w:rsidR="00BD0863">
        <w:t xml:space="preserve"> in order to </w:t>
      </w:r>
      <w:proofErr w:type="spellStart"/>
      <w:r w:rsidR="00BD0863">
        <w:t>binarize</w:t>
      </w:r>
      <w:proofErr w:type="spellEnd"/>
      <w:r w:rsidR="00BD0863">
        <w:t xml:space="preserve"> the images</w:t>
      </w:r>
      <w:r>
        <w:t xml:space="preserve"> is performed following the energy-based </w:t>
      </w:r>
      <w:proofErr w:type="spellStart"/>
      <w:r>
        <w:t>thresholding</w:t>
      </w:r>
      <w:proofErr w:type="spellEnd"/>
      <w:r>
        <w:t xml:space="preserve"> methods of West et al. (2018) and </w:t>
      </w:r>
      <w:proofErr w:type="spellStart"/>
      <w:r>
        <w:t>Haggenmuller</w:t>
      </w:r>
      <w:proofErr w:type="spellEnd"/>
      <w:r>
        <w:t xml:space="preserve"> et al. (2013)</w:t>
      </w:r>
      <w:r w:rsidR="00BD0863">
        <w:t xml:space="preserve"> due to the fact that these samples have a lower contrast between snow and pore-filler material</w:t>
      </w:r>
      <w:r>
        <w:t xml:space="preserve">. The segmentation methods outlined in </w:t>
      </w:r>
      <w:proofErr w:type="spellStart"/>
      <w:r>
        <w:t>Freitag</w:t>
      </w:r>
      <w:proofErr w:type="spellEnd"/>
      <w:r>
        <w:t xml:space="preserve"> et al. (2004) are used to </w:t>
      </w:r>
      <w:proofErr w:type="spellStart"/>
      <w:r>
        <w:t>binarize</w:t>
      </w:r>
      <w:proofErr w:type="spellEnd"/>
      <w:r>
        <w:t xml:space="preserve"> the snow-only samples, in which a threshold value equal to the mean of the maxima in the bimodal grey-level histograms</w:t>
      </w:r>
      <w:r w:rsidR="00F25034">
        <w:t xml:space="preserve"> that represent the w</w:t>
      </w:r>
      <w:r w:rsidR="006748FE">
        <w:t>hite (snow) and black (air) seg</w:t>
      </w:r>
      <w:r w:rsidR="00F25034">
        <w:t>ments</w:t>
      </w:r>
      <w:r>
        <w:t xml:space="preserve"> is </w:t>
      </w:r>
      <w:r w:rsidR="00BD0863">
        <w:t>used as the threshold</w:t>
      </w:r>
      <w:r>
        <w:t xml:space="preserve">. </w:t>
      </w:r>
      <w:r w:rsidR="00BD0863">
        <w:t>For these samples, the threshold is based on an average of the histograms for the individual scan that is performed.</w:t>
      </w:r>
    </w:p>
    <w:p w:rsidR="006748FE" w:rsidRDefault="006748FE" w:rsidP="00426060">
      <w:r>
        <w:t>The software package CT Analyzer (</w:t>
      </w:r>
      <w:proofErr w:type="spellStart"/>
      <w:r>
        <w:t>CTan</w:t>
      </w:r>
      <w:proofErr w:type="spellEnd"/>
      <w:r>
        <w:t>, published by Bruker) is used to calculate the morphometric</w:t>
      </w:r>
      <w:r w:rsidR="00BD0863">
        <w:t xml:space="preserve"> (i.e., size and shape)</w:t>
      </w:r>
      <w:r>
        <w:t xml:space="preserve"> parameters either in three dimensions based on a volume model generated in the reconstruction phase, or in two dimensions from cross-section images (individually or integrated over a volume of interest, VOI).</w:t>
      </w:r>
    </w:p>
    <w:p w:rsidR="007E4943" w:rsidRDefault="007E4943" w:rsidP="00426060">
      <w:r>
        <w:lastRenderedPageBreak/>
        <w:t>Snow microstructure data are derived from micro computed tomography (micro-CT) x</w:t>
      </w:r>
      <w:r w:rsidR="00426060">
        <w:t>-</w:t>
      </w:r>
      <w:r>
        <w:t xml:space="preserve">ray scans of both </w:t>
      </w:r>
      <w:proofErr w:type="spellStart"/>
      <w:r>
        <w:t>uncasted</w:t>
      </w:r>
      <w:proofErr w:type="spellEnd"/>
      <w:r>
        <w:t xml:space="preserve"> and casted snow pit samples, and consist of geometric data derived from the three dimensi</w:t>
      </w:r>
      <w:r w:rsidR="008F2C00">
        <w:t xml:space="preserve">onal </w:t>
      </w:r>
      <w:r w:rsidR="00BD0863">
        <w:t>microstructure</w:t>
      </w:r>
      <w:r w:rsidR="008F2C00">
        <w:t xml:space="preserve"> of each sample and includes </w:t>
      </w:r>
      <w:r w:rsidR="00EB1449">
        <w:t xml:space="preserve">the integrated </w:t>
      </w:r>
      <w:r w:rsidR="008F2C00">
        <w:t>three-dimensional (3D) morphometry</w:t>
      </w:r>
      <w:r w:rsidR="00EB1449">
        <w:t xml:space="preserve"> data for all </w:t>
      </w:r>
      <w:proofErr w:type="spellStart"/>
      <w:r w:rsidR="00EB1449">
        <w:t>binarized</w:t>
      </w:r>
      <w:proofErr w:type="spellEnd"/>
      <w:r w:rsidR="00EB1449">
        <w:t xml:space="preserve"> objects within the sample</w:t>
      </w:r>
      <w:r w:rsidR="008F2C00">
        <w:t xml:space="preserve"> including </w:t>
      </w:r>
      <w:r w:rsidR="006748FE">
        <w:t>VOI</w:t>
      </w:r>
      <w:r w:rsidR="008F2C00">
        <w:t xml:space="preserve"> volume, object volume, percent object volume, VOI surface, intersection surface, object surface/volume ratio, object surface density, surface convexity index, centroid(s), moments of inertia, radii of gyration, product(s) of inertia, orientation, structure model index, structure thickness, structure linear density, structure separation, fractal dimension, number of objects, number, volume and surface of closed pores, closed porosity, volume of open pore space, open porosity, total porosity, Euler number, connectivity, connectivity density, degree of anisotropy, Eigenvalue(s), and the specific surface area. </w:t>
      </w:r>
    </w:p>
    <w:p w:rsidR="00487984" w:rsidRDefault="008F2C00" w:rsidP="007E4943">
      <w:r>
        <w:t>2D data for each sample and subsample are also provided and include the number of objects, total region of interest (ROI), object area, percent object area, total ROI perimeter, object perimeter, object perimeter/object area, average object area, average object area-equivalent circle diameter, surface convexity index, Euler number, number of closed pores, area of closed pore, perimeter of closed pores, closed porosity, area of open space, total area of pore space, open porosity, total porosity, total orientation, eccentricity, structure thickness, structure separation, structure linear density, fractal di</w:t>
      </w:r>
      <w:r w:rsidR="00272807">
        <w:t xml:space="preserve">mension, </w:t>
      </w:r>
      <w:r w:rsidR="00487984">
        <w:t xml:space="preserve">and </w:t>
      </w:r>
      <w:r w:rsidR="00272807">
        <w:t>intersection perimeter</w:t>
      </w:r>
      <w:r w:rsidR="00487984">
        <w:t>.</w:t>
      </w:r>
      <w:r w:rsidR="007E39E1">
        <w:t xml:space="preserve"> The 2D data are represented per horizontal slice and in individual bitmaps, with the vertical resolution between slices equal to the pixel size.</w:t>
      </w:r>
    </w:p>
    <w:p w:rsidR="00487984" w:rsidRDefault="00487984" w:rsidP="007E4943"/>
    <w:p w:rsidR="00487984" w:rsidRDefault="00487984" w:rsidP="00487984">
      <w:pPr>
        <w:pStyle w:val="ListParagraph"/>
        <w:numPr>
          <w:ilvl w:val="1"/>
          <w:numId w:val="1"/>
        </w:numPr>
      </w:pPr>
      <w:r>
        <w:t>File Information</w:t>
      </w:r>
    </w:p>
    <w:p w:rsidR="00487984" w:rsidRDefault="00487984" w:rsidP="00487984">
      <w:pPr>
        <w:pStyle w:val="ListParagraph"/>
        <w:numPr>
          <w:ilvl w:val="2"/>
          <w:numId w:val="1"/>
        </w:numPr>
      </w:pPr>
      <w:r>
        <w:t>Format</w:t>
      </w:r>
    </w:p>
    <w:p w:rsidR="00487984" w:rsidRDefault="00487984" w:rsidP="00487984">
      <w:r>
        <w:t>Data are provided in</w:t>
      </w:r>
      <w:r w:rsidR="00971E58">
        <w:t xml:space="preserve"> separate</w:t>
      </w:r>
      <w:r>
        <w:t xml:space="preserve"> </w:t>
      </w:r>
      <w:r w:rsidR="007E39E1">
        <w:t>text files, with the data comma delimited.</w:t>
      </w:r>
      <w:r w:rsidR="00971E58">
        <w:t xml:space="preserve"> Each text file corresponds to one subsample within the samples taken from each snow pit.</w:t>
      </w:r>
    </w:p>
    <w:p w:rsidR="00487984" w:rsidRDefault="00487984" w:rsidP="00487984">
      <w:r>
        <w:t>1.2.2. File Contents</w:t>
      </w:r>
    </w:p>
    <w:p w:rsidR="001B5419" w:rsidRDefault="00487984" w:rsidP="00487984">
      <w:r>
        <w:t>The file starts with a header indicating the</w:t>
      </w:r>
      <w:r w:rsidR="001E1048">
        <w:t xml:space="preserve"> </w:t>
      </w:r>
      <w:r w:rsidR="00DA3CC8">
        <w:t xml:space="preserve">version of CT </w:t>
      </w:r>
      <w:proofErr w:type="spellStart"/>
      <w:r w:rsidR="00DA3CC8">
        <w:t>Analyser</w:t>
      </w:r>
      <w:proofErr w:type="spellEnd"/>
      <w:r w:rsidR="00DA3CC8">
        <w:t xml:space="preserve"> (CTAN) software used, </w:t>
      </w:r>
      <w:r w:rsidR="001E1048">
        <w:t>name of the dataset,</w:t>
      </w:r>
      <w:r w:rsidR="00DA3CC8">
        <w:t xml:space="preserve"> file type, image size (in pixels), total number of images making up the 3D data set, the range of the VOI vertical dimensions within scanned sample, number of images within the defined Volume of Interest (VOI), the number of images within the VOI, the vertical range of the images within the VOI, the spacing between images, and the pixel size (in microns, um)</w:t>
      </w:r>
      <w:r w:rsidR="001B5419">
        <w:t>.  Also included are</w:t>
      </w:r>
      <w:r w:rsidR="001E1048">
        <w:t xml:space="preserve"> the</w:t>
      </w:r>
      <w:r>
        <w:t xml:space="preserve"> </w:t>
      </w:r>
      <w:r w:rsidR="001E1048">
        <w:t xml:space="preserve">parameters of the </w:t>
      </w:r>
      <w:r w:rsidR="001B5419">
        <w:t xml:space="preserve">data processing steps </w:t>
      </w:r>
      <w:r w:rsidR="001E1048">
        <w:t xml:space="preserve">including </w:t>
      </w:r>
      <w:proofErr w:type="spellStart"/>
      <w:r w:rsidR="001E1048">
        <w:t>thresholding</w:t>
      </w:r>
      <w:proofErr w:type="spellEnd"/>
      <w:r w:rsidR="001E1048">
        <w:t xml:space="preserve"> values used to covert greyscale values t</w:t>
      </w:r>
      <w:r w:rsidR="001B5419">
        <w:t xml:space="preserve">o binary values and </w:t>
      </w:r>
      <w:proofErr w:type="spellStart"/>
      <w:r w:rsidR="001B5419">
        <w:t>despeckling</w:t>
      </w:r>
      <w:proofErr w:type="spellEnd"/>
      <w:r w:rsidR="001E1048">
        <w:t xml:space="preserve">. </w:t>
      </w:r>
      <w:r w:rsidR="007E39E1">
        <w:t xml:space="preserve"> </w:t>
      </w:r>
      <w:r w:rsidR="00EB1449">
        <w:t xml:space="preserve">All samples are </w:t>
      </w:r>
      <w:proofErr w:type="spellStart"/>
      <w:r w:rsidR="00EB1449">
        <w:t>thresholded</w:t>
      </w:r>
      <w:proofErr w:type="spellEnd"/>
      <w:r w:rsidR="00EB1449">
        <w:t xml:space="preserve"> based on a global </w:t>
      </w:r>
      <w:proofErr w:type="spellStart"/>
      <w:r w:rsidR="00EB1449">
        <w:t>thresholding</w:t>
      </w:r>
      <w:proofErr w:type="spellEnd"/>
      <w:r w:rsidR="00EB1449">
        <w:t xml:space="preserve"> scheme whereby a fixed range of grayscale values is set for the ice pixels (which are white); pixels outside the range are set as are pixels, and are black. </w:t>
      </w:r>
      <w:proofErr w:type="spellStart"/>
      <w:r w:rsidR="00EB1449">
        <w:t>Despeckling</w:t>
      </w:r>
      <w:proofErr w:type="spellEnd"/>
      <w:r w:rsidR="00EB1449">
        <w:t xml:space="preserve"> is performed on the </w:t>
      </w:r>
      <w:proofErr w:type="spellStart"/>
      <w:r w:rsidR="00EB1449">
        <w:t>binarized</w:t>
      </w:r>
      <w:proofErr w:type="spellEnd"/>
      <w:r w:rsidR="00EB1449">
        <w:t xml:space="preserve"> data and removes objects that </w:t>
      </w:r>
      <w:r w:rsidR="00534ED9">
        <w:t>are smaller in area than the specified area diameter in pixels.</w:t>
      </w:r>
    </w:p>
    <w:p w:rsidR="001B5B4B" w:rsidRDefault="00532F0A" w:rsidP="00532F0A">
      <w:r>
        <w:t xml:space="preserve">The </w:t>
      </w:r>
      <w:r w:rsidR="007E39E1">
        <w:t>2</w:t>
      </w:r>
      <w:r>
        <w:t xml:space="preserve">D </w:t>
      </w:r>
      <w:r w:rsidR="007E39E1">
        <w:t>analysis</w:t>
      </w:r>
      <w:r>
        <w:t xml:space="preserve"> results start with a header </w:t>
      </w:r>
      <w:r w:rsidR="001B5419">
        <w:t xml:space="preserve">that lists the date and time the analysis was conducted, and specifies “2D analysis”. The rest of the header includes the operator and computer name, the time to perform the calculation, the dataset folder, the pixel size (in microns, um), and the lower and upper grey scale thresholds. </w:t>
      </w:r>
      <w:r w:rsidR="007E39E1">
        <w:t>Data are listed per 2D horizontal slice as represented by one bitmap</w:t>
      </w:r>
      <w:r w:rsidR="0036541C">
        <w:t xml:space="preserve"> in the stack of images comprising the total VOI</w:t>
      </w:r>
      <w:r w:rsidR="007E39E1">
        <w:t xml:space="preserve">, with the vertical resolution between 2D slice equal to the pixel size. The number of slices is equal to the number of images within the volume of interest (VOI), given in the </w:t>
      </w:r>
      <w:r w:rsidR="007E39E1">
        <w:lastRenderedPageBreak/>
        <w:t>header.  The 2D analysis header is followed by 28 columns of data. Column names are described in Table 1.</w:t>
      </w:r>
    </w:p>
    <w:p w:rsidR="001B5B4B" w:rsidRDefault="001B5B4B" w:rsidP="00532F0A">
      <w:r>
        <w:t xml:space="preserve">The 3D analysis data begins with a header with the first line containing the date and time of the data analysis, and the designation “3D analysis.” Following the first line, the header contains the date and time of the data analysis, the operator identity, </w:t>
      </w:r>
      <w:proofErr w:type="gramStart"/>
      <w:r>
        <w:t>the</w:t>
      </w:r>
      <w:proofErr w:type="gramEnd"/>
      <w:r>
        <w:t xml:space="preserve"> computer name, computation time for the 3D analysis, the data set name and the location of the data set on the computer. The header also </w:t>
      </w:r>
      <w:proofErr w:type="spellStart"/>
      <w:r>
        <w:t>containes</w:t>
      </w:r>
      <w:proofErr w:type="spellEnd"/>
      <w:r>
        <w:t xml:space="preserve"> the description of the data set, including the number of layers, the lower vertical position of the VOI, the upper vertical position of the VOI, the pixel size, and the upper and lower greyscale thresholds.</w:t>
      </w:r>
    </w:p>
    <w:p w:rsidR="007E39E1" w:rsidRDefault="007E39E1" w:rsidP="00532F0A">
      <w:r>
        <w:t xml:space="preserve">Table 1. </w:t>
      </w:r>
      <w:r w:rsidR="001B5B4B">
        <w:t>2</w:t>
      </w:r>
      <w:r w:rsidR="00534ED9">
        <w:t xml:space="preserve">D </w:t>
      </w:r>
      <w:r>
        <w:t>Data Parameters.</w:t>
      </w:r>
    </w:p>
    <w:tbl>
      <w:tblPr>
        <w:tblStyle w:val="TableGrid"/>
        <w:tblW w:w="9445" w:type="dxa"/>
        <w:tblLayout w:type="fixed"/>
        <w:tblLook w:val="04A0" w:firstRow="1" w:lastRow="0" w:firstColumn="1" w:lastColumn="0" w:noHBand="0" w:noVBand="1"/>
      </w:tblPr>
      <w:tblGrid>
        <w:gridCol w:w="1525"/>
        <w:gridCol w:w="4140"/>
        <w:gridCol w:w="3780"/>
      </w:tblGrid>
      <w:tr w:rsidR="00971E58" w:rsidTr="00534ED9">
        <w:tc>
          <w:tcPr>
            <w:tcW w:w="1525" w:type="dxa"/>
          </w:tcPr>
          <w:p w:rsidR="00971E58" w:rsidRDefault="00971E58" w:rsidP="00532F0A">
            <w:r>
              <w:t>Variable</w:t>
            </w:r>
          </w:p>
        </w:tc>
        <w:tc>
          <w:tcPr>
            <w:tcW w:w="4140" w:type="dxa"/>
          </w:tcPr>
          <w:p w:rsidR="00971E58" w:rsidRDefault="00971E58" w:rsidP="00532F0A">
            <w:r>
              <w:t>Description</w:t>
            </w:r>
          </w:p>
        </w:tc>
        <w:tc>
          <w:tcPr>
            <w:tcW w:w="3780" w:type="dxa"/>
          </w:tcPr>
          <w:p w:rsidR="00971E58" w:rsidRDefault="00971E58" w:rsidP="00532F0A">
            <w:r>
              <w:t>Units/Format</w:t>
            </w:r>
          </w:p>
        </w:tc>
      </w:tr>
      <w:tr w:rsidR="00971E58" w:rsidTr="00534ED9">
        <w:tc>
          <w:tcPr>
            <w:tcW w:w="1525" w:type="dxa"/>
          </w:tcPr>
          <w:p w:rsidR="00971E58" w:rsidRDefault="00971E58" w:rsidP="00532F0A">
            <w:r>
              <w:t>File name</w:t>
            </w:r>
          </w:p>
        </w:tc>
        <w:tc>
          <w:tcPr>
            <w:tcW w:w="4140" w:type="dxa"/>
          </w:tcPr>
          <w:p w:rsidR="00971E58" w:rsidRDefault="00971E58" w:rsidP="00532F0A">
            <w:r>
              <w:t>Bitmap file name corresponding to one horizontal slice within the stack of images comprising one 3D micro-CT scan</w:t>
            </w:r>
          </w:p>
        </w:tc>
        <w:tc>
          <w:tcPr>
            <w:tcW w:w="3780" w:type="dxa"/>
          </w:tcPr>
          <w:p w:rsidR="00971E58" w:rsidRDefault="00971E58" w:rsidP="00532F0A">
            <w:r>
              <w:t xml:space="preserve">Pit </w:t>
            </w:r>
            <w:proofErr w:type="spellStart"/>
            <w:r>
              <w:t>name_depth</w:t>
            </w:r>
            <w:proofErr w:type="spellEnd"/>
            <w:r>
              <w:t xml:space="preserve"> in pit_resolution_reconstruction_voi.bmp</w:t>
            </w:r>
          </w:p>
        </w:tc>
      </w:tr>
      <w:tr w:rsidR="00971E58" w:rsidTr="00534ED9">
        <w:tc>
          <w:tcPr>
            <w:tcW w:w="1525" w:type="dxa"/>
          </w:tcPr>
          <w:p w:rsidR="00971E58" w:rsidRDefault="00971E58" w:rsidP="00532F0A">
            <w:r>
              <w:t>Z position</w:t>
            </w:r>
          </w:p>
        </w:tc>
        <w:tc>
          <w:tcPr>
            <w:tcW w:w="4140" w:type="dxa"/>
          </w:tcPr>
          <w:p w:rsidR="00971E58" w:rsidRDefault="00971E58" w:rsidP="00532F0A">
            <w:r>
              <w:t>Vertical position within stack of images/absolute position within sample</w:t>
            </w:r>
          </w:p>
        </w:tc>
        <w:tc>
          <w:tcPr>
            <w:tcW w:w="3780" w:type="dxa"/>
          </w:tcPr>
          <w:p w:rsidR="00971E58" w:rsidRDefault="00971E58" w:rsidP="00532F0A">
            <w:r>
              <w:t>mm from bottom of sample</w:t>
            </w:r>
          </w:p>
        </w:tc>
      </w:tr>
      <w:tr w:rsidR="00971E58" w:rsidTr="00534ED9">
        <w:tc>
          <w:tcPr>
            <w:tcW w:w="1525" w:type="dxa"/>
          </w:tcPr>
          <w:p w:rsidR="00971E58" w:rsidRDefault="00971E58" w:rsidP="00532F0A">
            <w:r>
              <w:t>Number of objects</w:t>
            </w:r>
          </w:p>
        </w:tc>
        <w:tc>
          <w:tcPr>
            <w:tcW w:w="4140" w:type="dxa"/>
          </w:tcPr>
          <w:p w:rsidR="00971E58" w:rsidRDefault="00971E58" w:rsidP="00532F0A">
            <w:r>
              <w:t>Total number of identified discrete objects in image (i.e., not connected to one another)</w:t>
            </w:r>
          </w:p>
        </w:tc>
        <w:tc>
          <w:tcPr>
            <w:tcW w:w="3780" w:type="dxa"/>
          </w:tcPr>
          <w:p w:rsidR="00971E58" w:rsidRDefault="00971E58" w:rsidP="00532F0A"/>
        </w:tc>
      </w:tr>
      <w:tr w:rsidR="00971E58" w:rsidTr="00534ED9">
        <w:tc>
          <w:tcPr>
            <w:tcW w:w="1525" w:type="dxa"/>
          </w:tcPr>
          <w:p w:rsidR="00971E58" w:rsidRDefault="00971E58" w:rsidP="00532F0A">
            <w:r>
              <w:t>Total ROI area</w:t>
            </w:r>
          </w:p>
        </w:tc>
        <w:tc>
          <w:tcPr>
            <w:tcW w:w="4140" w:type="dxa"/>
          </w:tcPr>
          <w:p w:rsidR="00971E58" w:rsidRDefault="00971E58" w:rsidP="00532F0A">
            <w:r>
              <w:t>The area within the defined region of interest (ROI)</w:t>
            </w:r>
            <w:r w:rsidR="000B7827">
              <w:t>.</w:t>
            </w:r>
          </w:p>
        </w:tc>
        <w:tc>
          <w:tcPr>
            <w:tcW w:w="3780" w:type="dxa"/>
          </w:tcPr>
          <w:p w:rsidR="00971E58" w:rsidRDefault="00444304" w:rsidP="00532F0A">
            <w:r>
              <w:t>m</w:t>
            </w:r>
            <w:r w:rsidR="00971E58">
              <w:t>m^2</w:t>
            </w:r>
          </w:p>
        </w:tc>
      </w:tr>
      <w:tr w:rsidR="00971E58" w:rsidTr="00534ED9">
        <w:tc>
          <w:tcPr>
            <w:tcW w:w="1525" w:type="dxa"/>
          </w:tcPr>
          <w:p w:rsidR="00971E58" w:rsidRDefault="00971E58" w:rsidP="00532F0A">
            <w:r>
              <w:t>Object area</w:t>
            </w:r>
          </w:p>
        </w:tc>
        <w:tc>
          <w:tcPr>
            <w:tcW w:w="4140" w:type="dxa"/>
          </w:tcPr>
          <w:p w:rsidR="00971E58" w:rsidRDefault="0036541C" w:rsidP="000B7827">
            <w:r>
              <w:t xml:space="preserve">The mean of the cross-sectional object for all slices in the selected range of the </w:t>
            </w:r>
            <w:r w:rsidR="000B7827">
              <w:t>R</w:t>
            </w:r>
            <w:r>
              <w:t>OI.</w:t>
            </w:r>
          </w:p>
        </w:tc>
        <w:tc>
          <w:tcPr>
            <w:tcW w:w="3780" w:type="dxa"/>
          </w:tcPr>
          <w:p w:rsidR="00971E58" w:rsidRDefault="00444304" w:rsidP="00532F0A">
            <w:r>
              <w:t>mm^2</w:t>
            </w:r>
          </w:p>
        </w:tc>
      </w:tr>
      <w:tr w:rsidR="00971E58" w:rsidTr="00534ED9">
        <w:tc>
          <w:tcPr>
            <w:tcW w:w="1525" w:type="dxa"/>
          </w:tcPr>
          <w:p w:rsidR="00971E58" w:rsidRDefault="00971E58" w:rsidP="00532F0A">
            <w:r>
              <w:t>Percent object area</w:t>
            </w:r>
          </w:p>
        </w:tc>
        <w:tc>
          <w:tcPr>
            <w:tcW w:w="4140" w:type="dxa"/>
          </w:tcPr>
          <w:p w:rsidR="00971E58" w:rsidRDefault="00621D57" w:rsidP="00621D57">
            <w:r>
              <w:t xml:space="preserve">The proportion of the </w:t>
            </w:r>
            <w:r>
              <w:t>R</w:t>
            </w:r>
            <w:r>
              <w:t xml:space="preserve">OI occupied by </w:t>
            </w:r>
            <w:proofErr w:type="spellStart"/>
            <w:r>
              <w:t>binari</w:t>
            </w:r>
            <w:r>
              <w:t>z</w:t>
            </w:r>
            <w:r>
              <w:t>ed</w:t>
            </w:r>
            <w:proofErr w:type="spellEnd"/>
            <w:r>
              <w:t xml:space="preserve"> solid objects.</w:t>
            </w:r>
          </w:p>
        </w:tc>
        <w:tc>
          <w:tcPr>
            <w:tcW w:w="3780" w:type="dxa"/>
          </w:tcPr>
          <w:p w:rsidR="00971E58" w:rsidRDefault="00444304" w:rsidP="00532F0A">
            <w:r>
              <w:t>%</w:t>
            </w:r>
          </w:p>
        </w:tc>
      </w:tr>
      <w:tr w:rsidR="00971E58" w:rsidTr="00534ED9">
        <w:tc>
          <w:tcPr>
            <w:tcW w:w="1525" w:type="dxa"/>
          </w:tcPr>
          <w:p w:rsidR="00971E58" w:rsidRDefault="00971E58" w:rsidP="00532F0A">
            <w:r>
              <w:t>Total ROI perimeter</w:t>
            </w:r>
          </w:p>
        </w:tc>
        <w:tc>
          <w:tcPr>
            <w:tcW w:w="4140" w:type="dxa"/>
          </w:tcPr>
          <w:p w:rsidR="00971E58" w:rsidRDefault="0036541C" w:rsidP="00532F0A">
            <w:r>
              <w:t>The 2D perimeter of the defined region of interest of each individual slice.</w:t>
            </w:r>
          </w:p>
        </w:tc>
        <w:tc>
          <w:tcPr>
            <w:tcW w:w="3780" w:type="dxa"/>
          </w:tcPr>
          <w:p w:rsidR="00444304" w:rsidRDefault="00444304" w:rsidP="00532F0A">
            <w:r>
              <w:t>mm</w:t>
            </w:r>
          </w:p>
        </w:tc>
      </w:tr>
      <w:tr w:rsidR="00971E58" w:rsidTr="00534ED9">
        <w:tc>
          <w:tcPr>
            <w:tcW w:w="1525" w:type="dxa"/>
          </w:tcPr>
          <w:p w:rsidR="00971E58" w:rsidRDefault="00D95E97" w:rsidP="00532F0A">
            <w:r>
              <w:t>Object perimeter</w:t>
            </w:r>
          </w:p>
        </w:tc>
        <w:tc>
          <w:tcPr>
            <w:tcW w:w="4140" w:type="dxa"/>
          </w:tcPr>
          <w:p w:rsidR="00971E58" w:rsidRDefault="0036541C" w:rsidP="0036541C">
            <w:r>
              <w:t>The mean of the cross-sectional object perimeter for all slices in the selected range of the VOI.</w:t>
            </w:r>
          </w:p>
        </w:tc>
        <w:tc>
          <w:tcPr>
            <w:tcW w:w="3780" w:type="dxa"/>
          </w:tcPr>
          <w:p w:rsidR="00971E58" w:rsidRDefault="00444304" w:rsidP="00532F0A">
            <w:r>
              <w:t>mm</w:t>
            </w:r>
          </w:p>
        </w:tc>
      </w:tr>
      <w:tr w:rsidR="00971E58" w:rsidTr="00534ED9">
        <w:tc>
          <w:tcPr>
            <w:tcW w:w="1525" w:type="dxa"/>
          </w:tcPr>
          <w:p w:rsidR="00971E58" w:rsidRDefault="00D95E97" w:rsidP="00532F0A">
            <w:r>
              <w:t>Object perimeter/</w:t>
            </w:r>
            <w:r w:rsidR="0036541C">
              <w:t xml:space="preserve"> </w:t>
            </w:r>
            <w:r>
              <w:t>area ratio</w:t>
            </w:r>
          </w:p>
        </w:tc>
        <w:tc>
          <w:tcPr>
            <w:tcW w:w="4140" w:type="dxa"/>
          </w:tcPr>
          <w:p w:rsidR="00971E58" w:rsidRDefault="000B7827" w:rsidP="00532F0A">
            <w:r>
              <w:t>The mean of the cross-sectional object perimeter for all slices in the selected range of the VOI divided by the area of the ROI.</w:t>
            </w:r>
          </w:p>
        </w:tc>
        <w:tc>
          <w:tcPr>
            <w:tcW w:w="3780" w:type="dxa"/>
          </w:tcPr>
          <w:p w:rsidR="00971E58" w:rsidRDefault="00444304" w:rsidP="00532F0A">
            <w:r>
              <w:t>1/mm</w:t>
            </w:r>
          </w:p>
        </w:tc>
      </w:tr>
      <w:tr w:rsidR="00971E58" w:rsidTr="00534ED9">
        <w:tc>
          <w:tcPr>
            <w:tcW w:w="1525" w:type="dxa"/>
          </w:tcPr>
          <w:p w:rsidR="00971E58" w:rsidRDefault="00D95E97" w:rsidP="00532F0A">
            <w:r>
              <w:t>Average object area</w:t>
            </w:r>
          </w:p>
        </w:tc>
        <w:tc>
          <w:tcPr>
            <w:tcW w:w="4140" w:type="dxa"/>
          </w:tcPr>
          <w:p w:rsidR="00971E58" w:rsidRDefault="0036541C" w:rsidP="0036541C">
            <w:r>
              <w:t>The mean area of discreet 2D objects in a single cross-sectional image slice. This parameter can be an indicator of structural connectivity – in interconnected structures high connectivity results in highly interconnected objects which are few in number in a single cross-section – by contrast fragmentation results in larger numbers of smaller objects.</w:t>
            </w:r>
          </w:p>
        </w:tc>
        <w:tc>
          <w:tcPr>
            <w:tcW w:w="3780" w:type="dxa"/>
          </w:tcPr>
          <w:p w:rsidR="00971E58" w:rsidRDefault="00444304" w:rsidP="00532F0A">
            <w:r>
              <w:t>mm</w:t>
            </w:r>
          </w:p>
        </w:tc>
      </w:tr>
      <w:tr w:rsidR="00971E58" w:rsidTr="00534ED9">
        <w:tc>
          <w:tcPr>
            <w:tcW w:w="1525" w:type="dxa"/>
          </w:tcPr>
          <w:p w:rsidR="00971E58" w:rsidRDefault="00D95E97" w:rsidP="00532F0A">
            <w:r>
              <w:t xml:space="preserve">Average object area-equivalent </w:t>
            </w:r>
            <w:r>
              <w:lastRenderedPageBreak/>
              <w:t>circle diameter</w:t>
            </w:r>
          </w:p>
        </w:tc>
        <w:tc>
          <w:tcPr>
            <w:tcW w:w="4140" w:type="dxa"/>
          </w:tcPr>
          <w:p w:rsidR="00971E58" w:rsidRDefault="0036541C" w:rsidP="00532F0A">
            <w:r>
              <w:lastRenderedPageBreak/>
              <w:t xml:space="preserve">The mean equivalent circle diameter of all discreet 2D objects in a single cross-sectional image slice, defined as the </w:t>
            </w:r>
            <w:r>
              <w:lastRenderedPageBreak/>
              <w:t>diameter of the equivalent circle having the same area as the measured object.</w:t>
            </w:r>
          </w:p>
        </w:tc>
        <w:tc>
          <w:tcPr>
            <w:tcW w:w="3780" w:type="dxa"/>
          </w:tcPr>
          <w:p w:rsidR="00971E58" w:rsidRDefault="00444304" w:rsidP="00532F0A">
            <w:r>
              <w:lastRenderedPageBreak/>
              <w:t>mm</w:t>
            </w:r>
          </w:p>
        </w:tc>
      </w:tr>
      <w:tr w:rsidR="00971E58" w:rsidTr="00534ED9">
        <w:tc>
          <w:tcPr>
            <w:tcW w:w="1525" w:type="dxa"/>
          </w:tcPr>
          <w:p w:rsidR="00971E58" w:rsidRDefault="00D95E97" w:rsidP="00532F0A">
            <w:r>
              <w:t>Surface convexity index</w:t>
            </w:r>
          </w:p>
        </w:tc>
        <w:tc>
          <w:tcPr>
            <w:tcW w:w="4140" w:type="dxa"/>
          </w:tcPr>
          <w:p w:rsidR="00971E58" w:rsidRDefault="00B16592" w:rsidP="001B5B4B">
            <w:r>
              <w:t xml:space="preserve">The surface convexity index </w:t>
            </w:r>
            <w:r>
              <w:t xml:space="preserve">calculates an index of relative convexity or concavity of the total </w:t>
            </w:r>
            <w:r w:rsidR="001B5B4B">
              <w:t>solid</w:t>
            </w:r>
            <w:r>
              <w:t xml:space="preserve"> surface, on the principle that co</w:t>
            </w:r>
            <w:r w:rsidR="001B5B4B">
              <w:t>ncavity indicates connectivity</w:t>
            </w:r>
            <w:r>
              <w:t>, and convexity indicates is</w:t>
            </w:r>
            <w:r w:rsidR="001B5B4B">
              <w:t xml:space="preserve">olated disconnected structures. </w:t>
            </w:r>
            <w:r w:rsidR="001B5B4B">
              <w:t xml:space="preserve">Where structural results in enclosed </w:t>
            </w:r>
            <w:r w:rsidR="001B5B4B">
              <w:t>air</w:t>
            </w:r>
            <w:r w:rsidR="001B5B4B">
              <w:t xml:space="preserve"> spaces, then dilation of </w:t>
            </w:r>
            <w:r w:rsidR="001B5B4B">
              <w:t>solid</w:t>
            </w:r>
            <w:r w:rsidR="001B5B4B">
              <w:t xml:space="preserve"> surfaces will contract the surface. By contrast, open ends will have their surface expanded by surface dilation. As a result, lower </w:t>
            </w:r>
            <w:r w:rsidR="001B5B4B">
              <w:t>surface convexity index</w:t>
            </w:r>
            <w:r w:rsidR="001B5B4B">
              <w:t xml:space="preserve"> signifies better connected trabecular lattices while higher </w:t>
            </w:r>
            <w:r w:rsidR="001B5B4B">
              <w:t>surface convexity index</w:t>
            </w:r>
            <w:r w:rsidR="001B5B4B">
              <w:t xml:space="preserve"> means a more disconnected </w:t>
            </w:r>
            <w:r w:rsidR="001B5B4B">
              <w:t>solid</w:t>
            </w:r>
            <w:r w:rsidR="001B5B4B">
              <w:t xml:space="preserve"> structure. A prevalence of enclosed cavitie</w:t>
            </w:r>
            <w:r w:rsidR="001B5B4B">
              <w:t>s and concave surfaces results in</w:t>
            </w:r>
            <w:r w:rsidR="001B5B4B">
              <w:t xml:space="preserve"> negative values. This parameter is best considered as a relative index for comparing different scanned objects; its absolute value does not have much meaning.</w:t>
            </w:r>
          </w:p>
        </w:tc>
        <w:tc>
          <w:tcPr>
            <w:tcW w:w="3780" w:type="dxa"/>
          </w:tcPr>
          <w:p w:rsidR="00971E58" w:rsidRDefault="00444304" w:rsidP="00532F0A">
            <w:r>
              <w:t>1/mm</w:t>
            </w:r>
          </w:p>
        </w:tc>
      </w:tr>
      <w:tr w:rsidR="00971E58" w:rsidTr="00534ED9">
        <w:tc>
          <w:tcPr>
            <w:tcW w:w="1525" w:type="dxa"/>
          </w:tcPr>
          <w:p w:rsidR="00971E58" w:rsidRDefault="00D95E97" w:rsidP="00532F0A">
            <w:r>
              <w:t>Euler number</w:t>
            </w:r>
          </w:p>
        </w:tc>
        <w:tc>
          <w:tcPr>
            <w:tcW w:w="4140" w:type="dxa"/>
          </w:tcPr>
          <w:p w:rsidR="00971E58" w:rsidRDefault="0036541C" w:rsidP="00621D57">
            <w:r>
              <w:t xml:space="preserve">The </w:t>
            </w:r>
            <w:r w:rsidR="00621D57">
              <w:t>Euler number</w:t>
            </w:r>
            <w:r>
              <w:t xml:space="preserve"> is an indicator of connectedness of a complex object. The Euler number measures the degree to which parts of the object are multiply connected (</w:t>
            </w:r>
            <w:proofErr w:type="spellStart"/>
            <w:r>
              <w:t>Odgaard</w:t>
            </w:r>
            <w:proofErr w:type="spellEnd"/>
            <w:r>
              <w:t xml:space="preserve"> et al. 1993). It is a measure of how many connections in a structure can be severed before the structure falls into two separate pieces. The components of the Euler number are the three </w:t>
            </w:r>
            <w:proofErr w:type="spellStart"/>
            <w:r>
              <w:t>Betti</w:t>
            </w:r>
            <w:proofErr w:type="spellEnd"/>
            <w:r>
              <w:t xml:space="preserve"> numbers: </w:t>
            </w:r>
            <w:r>
              <w:sym w:font="Symbol" w:char="F062"/>
            </w:r>
            <w:r>
              <w:t xml:space="preserve">0 is the number of objects, </w:t>
            </w:r>
            <w:r>
              <w:sym w:font="Symbol" w:char="F062"/>
            </w:r>
            <w:r>
              <w:t xml:space="preserve">1 the connectivity, and </w:t>
            </w:r>
            <w:r>
              <w:sym w:font="Symbol" w:char="F062"/>
            </w:r>
            <w:r>
              <w:t>2 the number of enclosed cavities. The Euler-Poincare formula f</w:t>
            </w:r>
            <w:r w:rsidR="009A1F3A">
              <w:t xml:space="preserve">or a 3D object X is given: </w:t>
            </w:r>
            <w:r>
              <w:t xml:space="preserve"> </w:t>
            </w:r>
            <w:r>
              <w:sym w:font="Symbol" w:char="F063"/>
            </w:r>
            <w:r>
              <w:t xml:space="preserve">(X) </w:t>
            </w:r>
            <w:r>
              <w:sym w:font="Symbol" w:char="F03D"/>
            </w:r>
            <w:r>
              <w:t xml:space="preserve"> </w:t>
            </w:r>
            <w:r>
              <w:sym w:font="Symbol" w:char="F062"/>
            </w:r>
            <w:r w:rsidR="009A1F3A">
              <w:t>0</w:t>
            </w:r>
            <w:r>
              <w:t xml:space="preserve"> </w:t>
            </w:r>
            <w:r>
              <w:sym w:font="Symbol" w:char="F02D"/>
            </w:r>
            <w:r>
              <w:t xml:space="preserve"> </w:t>
            </w:r>
            <w:r>
              <w:sym w:font="Symbol" w:char="F062"/>
            </w:r>
            <w:r w:rsidR="009A1F3A">
              <w:t>1</w:t>
            </w:r>
            <w:r>
              <w:t xml:space="preserve"> </w:t>
            </w:r>
            <w:r>
              <w:sym w:font="Symbol" w:char="F02B"/>
            </w:r>
            <w:r>
              <w:t xml:space="preserve"> </w:t>
            </w:r>
            <w:r>
              <w:sym w:font="Symbol" w:char="F062"/>
            </w:r>
            <w:r w:rsidR="009A1F3A">
              <w:t>2.</w:t>
            </w:r>
            <w:r>
              <w:t xml:space="preserve"> In calculating the Euler number of an individual object, </w:t>
            </w:r>
            <w:r>
              <w:sym w:font="Symbol" w:char="F062"/>
            </w:r>
            <w:r>
              <w:t xml:space="preserve">0 will always be 1. The values of </w:t>
            </w:r>
            <w:r>
              <w:sym w:font="Symbol" w:char="F062"/>
            </w:r>
            <w:r>
              <w:t xml:space="preserve">1 and </w:t>
            </w:r>
            <w:r>
              <w:sym w:font="Symbol" w:char="F062"/>
            </w:r>
            <w:r>
              <w:t xml:space="preserve"> 2 will therefore determine the single object’s Euler number.</w:t>
            </w:r>
          </w:p>
        </w:tc>
        <w:tc>
          <w:tcPr>
            <w:tcW w:w="3780" w:type="dxa"/>
          </w:tcPr>
          <w:p w:rsidR="00971E58" w:rsidRDefault="00971E58" w:rsidP="00532F0A"/>
        </w:tc>
      </w:tr>
      <w:tr w:rsidR="00971E58" w:rsidTr="00534ED9">
        <w:tc>
          <w:tcPr>
            <w:tcW w:w="1525" w:type="dxa"/>
          </w:tcPr>
          <w:p w:rsidR="00971E58" w:rsidRDefault="00D95E97" w:rsidP="00532F0A">
            <w:r>
              <w:t>Number of closed pores</w:t>
            </w:r>
          </w:p>
        </w:tc>
        <w:tc>
          <w:tcPr>
            <w:tcW w:w="4140" w:type="dxa"/>
          </w:tcPr>
          <w:p w:rsidR="00971E58" w:rsidRDefault="009A1F3A" w:rsidP="00532F0A">
            <w:r>
              <w:t>Count of all the individually closed pores.</w:t>
            </w:r>
          </w:p>
        </w:tc>
        <w:tc>
          <w:tcPr>
            <w:tcW w:w="3780" w:type="dxa"/>
          </w:tcPr>
          <w:p w:rsidR="00971E58" w:rsidRDefault="00971E58" w:rsidP="00532F0A"/>
        </w:tc>
      </w:tr>
      <w:tr w:rsidR="001B5B4B" w:rsidTr="00534ED9">
        <w:tc>
          <w:tcPr>
            <w:tcW w:w="1525" w:type="dxa"/>
          </w:tcPr>
          <w:p w:rsidR="001B5B4B" w:rsidRDefault="001B5B4B" w:rsidP="00532F0A">
            <w:r>
              <w:t>Area of closed pores</w:t>
            </w:r>
          </w:p>
        </w:tc>
        <w:tc>
          <w:tcPr>
            <w:tcW w:w="4140" w:type="dxa"/>
          </w:tcPr>
          <w:p w:rsidR="001B5B4B" w:rsidRDefault="001B5B4B" w:rsidP="00532F0A">
            <w:r>
              <w:t>Total cross-sectional area of all closed pores within the 2D slice.</w:t>
            </w:r>
          </w:p>
        </w:tc>
        <w:tc>
          <w:tcPr>
            <w:tcW w:w="3780" w:type="dxa"/>
          </w:tcPr>
          <w:p w:rsidR="001B5B4B" w:rsidRDefault="001B5B4B" w:rsidP="00532F0A">
            <w:r>
              <w:t>mm</w:t>
            </w:r>
            <w:r w:rsidRPr="001B5B4B">
              <w:rPr>
                <w:vertAlign w:val="superscript"/>
              </w:rPr>
              <w:t>2</w:t>
            </w:r>
          </w:p>
        </w:tc>
      </w:tr>
      <w:tr w:rsidR="00971E58" w:rsidTr="00534ED9">
        <w:tc>
          <w:tcPr>
            <w:tcW w:w="1525" w:type="dxa"/>
          </w:tcPr>
          <w:p w:rsidR="00971E58" w:rsidRDefault="00D95E97" w:rsidP="00532F0A">
            <w:r>
              <w:t>Perimeter of closed pores</w:t>
            </w:r>
          </w:p>
        </w:tc>
        <w:tc>
          <w:tcPr>
            <w:tcW w:w="4140" w:type="dxa"/>
          </w:tcPr>
          <w:p w:rsidR="00971E58" w:rsidRDefault="009A1F3A" w:rsidP="00532F0A">
            <w:r>
              <w:t>Sum of the perimeter of all identified closed pores.</w:t>
            </w:r>
          </w:p>
        </w:tc>
        <w:tc>
          <w:tcPr>
            <w:tcW w:w="3780" w:type="dxa"/>
          </w:tcPr>
          <w:p w:rsidR="00971E58" w:rsidRDefault="00444304" w:rsidP="00532F0A">
            <w:r>
              <w:t>mm</w:t>
            </w:r>
          </w:p>
        </w:tc>
      </w:tr>
      <w:tr w:rsidR="00971E58" w:rsidTr="00534ED9">
        <w:tc>
          <w:tcPr>
            <w:tcW w:w="1525" w:type="dxa"/>
          </w:tcPr>
          <w:p w:rsidR="00971E58" w:rsidRDefault="00D95E97" w:rsidP="00532F0A">
            <w:r>
              <w:lastRenderedPageBreak/>
              <w:t>Closed porosity</w:t>
            </w:r>
          </w:p>
        </w:tc>
        <w:tc>
          <w:tcPr>
            <w:tcW w:w="4140" w:type="dxa"/>
          </w:tcPr>
          <w:p w:rsidR="00971E58" w:rsidRDefault="0036541C" w:rsidP="00C954C1">
            <w:r>
              <w:t>Closed porosity is measured in the 2</w:t>
            </w:r>
            <w:r w:rsidR="009A1F3A">
              <w:t>D s</w:t>
            </w:r>
            <w:r w:rsidR="00C954C1">
              <w:t>lice-by-slice analysis</w:t>
            </w:r>
            <w:r>
              <w:t xml:space="preserve">. </w:t>
            </w:r>
            <w:proofErr w:type="spellStart"/>
            <w:r>
              <w:t>Binarized</w:t>
            </w:r>
            <w:proofErr w:type="spellEnd"/>
            <w:r>
              <w:t xml:space="preserve"> objects are identified containing fully enclosed spaces, and closed porosity is the area of those spaces as a percent of the total area of </w:t>
            </w:r>
            <w:proofErr w:type="spellStart"/>
            <w:r>
              <w:t>binarized</w:t>
            </w:r>
            <w:proofErr w:type="spellEnd"/>
            <w:r>
              <w:t xml:space="preserve"> objects. Note that the denominator of total object area includes the closed pores. Closed porosity measurement ignores space which is not fully surrounded by solid. Note – closed porosity in 2D is usually much larger than the equivalent parameter measured in 3D; a space region is more likely to be surrounded by solid in a single cross-sectional plane in 2D than in all directions in 3D</w:t>
            </w:r>
          </w:p>
        </w:tc>
        <w:tc>
          <w:tcPr>
            <w:tcW w:w="3780" w:type="dxa"/>
          </w:tcPr>
          <w:p w:rsidR="00971E58" w:rsidRDefault="00444304" w:rsidP="00532F0A">
            <w:r>
              <w:t>%</w:t>
            </w:r>
          </w:p>
        </w:tc>
      </w:tr>
      <w:tr w:rsidR="00971E58" w:rsidTr="00534ED9">
        <w:tc>
          <w:tcPr>
            <w:tcW w:w="1525" w:type="dxa"/>
          </w:tcPr>
          <w:p w:rsidR="00971E58" w:rsidRDefault="00D95E97" w:rsidP="00532F0A">
            <w:r>
              <w:t>Area of open pore space</w:t>
            </w:r>
          </w:p>
        </w:tc>
        <w:tc>
          <w:tcPr>
            <w:tcW w:w="4140" w:type="dxa"/>
          </w:tcPr>
          <w:p w:rsidR="00971E58" w:rsidRDefault="00621D57" w:rsidP="00001E82">
            <w:r>
              <w:t xml:space="preserve">The total </w:t>
            </w:r>
            <w:r w:rsidR="00001E82">
              <w:t>area</w:t>
            </w:r>
            <w:r>
              <w:t xml:space="preserve"> of all open pores within the </w:t>
            </w:r>
            <w:r w:rsidR="00001E82">
              <w:t>ROI</w:t>
            </w:r>
            <w:r>
              <w:t xml:space="preserve">. An open pore is defined as any space located within </w:t>
            </w:r>
            <w:r w:rsidR="00001E82">
              <w:t>the 2D slice that has any connection in 2D to the space outside the ROI.</w:t>
            </w:r>
          </w:p>
        </w:tc>
        <w:tc>
          <w:tcPr>
            <w:tcW w:w="3780" w:type="dxa"/>
          </w:tcPr>
          <w:p w:rsidR="00971E58" w:rsidRDefault="00444304" w:rsidP="00532F0A">
            <w:r>
              <w:t>mm^2</w:t>
            </w:r>
          </w:p>
        </w:tc>
      </w:tr>
      <w:tr w:rsidR="00971E58" w:rsidTr="00534ED9">
        <w:tc>
          <w:tcPr>
            <w:tcW w:w="1525" w:type="dxa"/>
          </w:tcPr>
          <w:p w:rsidR="00971E58" w:rsidRDefault="00D95E97" w:rsidP="00532F0A">
            <w:r>
              <w:t>Total area of pore space</w:t>
            </w:r>
          </w:p>
        </w:tc>
        <w:tc>
          <w:tcPr>
            <w:tcW w:w="4140" w:type="dxa"/>
          </w:tcPr>
          <w:p w:rsidR="00971E58" w:rsidRDefault="00001E82" w:rsidP="00001E82">
            <w:r>
              <w:t>The total area of all open</w:t>
            </w:r>
            <w:r>
              <w:t xml:space="preserve"> and closed</w:t>
            </w:r>
            <w:r>
              <w:t xml:space="preserve"> pores within the ROI</w:t>
            </w:r>
            <w:r w:rsidR="001B5B4B">
              <w:t xml:space="preserve"> </w:t>
            </w:r>
            <w:proofErr w:type="spellStart"/>
            <w:r w:rsidR="001B5B4B">
              <w:t>combinws</w:t>
            </w:r>
            <w:proofErr w:type="spellEnd"/>
            <w:r>
              <w:t xml:space="preserve">. </w:t>
            </w:r>
          </w:p>
        </w:tc>
        <w:tc>
          <w:tcPr>
            <w:tcW w:w="3780" w:type="dxa"/>
          </w:tcPr>
          <w:p w:rsidR="00971E58" w:rsidRDefault="00444304" w:rsidP="00532F0A">
            <w:r>
              <w:t>mm^2</w:t>
            </w:r>
          </w:p>
        </w:tc>
      </w:tr>
      <w:tr w:rsidR="00D95E97" w:rsidTr="00534ED9">
        <w:tc>
          <w:tcPr>
            <w:tcW w:w="1525" w:type="dxa"/>
          </w:tcPr>
          <w:p w:rsidR="00D95E97" w:rsidRDefault="00D95E97" w:rsidP="00532F0A">
            <w:r>
              <w:t>Open porosity</w:t>
            </w:r>
          </w:p>
        </w:tc>
        <w:tc>
          <w:tcPr>
            <w:tcW w:w="4140" w:type="dxa"/>
          </w:tcPr>
          <w:p w:rsidR="00D95E97" w:rsidRDefault="00001E82" w:rsidP="00001E82">
            <w:r>
              <w:t xml:space="preserve">Percent open porosity is the </w:t>
            </w:r>
            <w:r>
              <w:t>area</w:t>
            </w:r>
            <w:r>
              <w:t xml:space="preserve"> of open pores (as defined above) as a percent of the total </w:t>
            </w:r>
            <w:r>
              <w:t>ROI</w:t>
            </w:r>
            <w:r>
              <w:t>.</w:t>
            </w:r>
          </w:p>
        </w:tc>
        <w:tc>
          <w:tcPr>
            <w:tcW w:w="3780" w:type="dxa"/>
          </w:tcPr>
          <w:p w:rsidR="00D95E97" w:rsidRDefault="00444304" w:rsidP="00532F0A">
            <w:r>
              <w:t>%</w:t>
            </w:r>
          </w:p>
        </w:tc>
      </w:tr>
      <w:tr w:rsidR="00D95E97" w:rsidTr="00534ED9">
        <w:tc>
          <w:tcPr>
            <w:tcW w:w="1525" w:type="dxa"/>
          </w:tcPr>
          <w:p w:rsidR="00D95E97" w:rsidRDefault="00D95E97" w:rsidP="00532F0A">
            <w:r>
              <w:t>Total porosity</w:t>
            </w:r>
          </w:p>
        </w:tc>
        <w:tc>
          <w:tcPr>
            <w:tcW w:w="4140" w:type="dxa"/>
          </w:tcPr>
          <w:p w:rsidR="00D95E97" w:rsidRDefault="00001E82" w:rsidP="00532F0A">
            <w:r>
              <w:t>The total combined open and closed porosity.</w:t>
            </w:r>
          </w:p>
        </w:tc>
        <w:tc>
          <w:tcPr>
            <w:tcW w:w="3780" w:type="dxa"/>
          </w:tcPr>
          <w:p w:rsidR="00D95E97" w:rsidRDefault="00444304" w:rsidP="00532F0A">
            <w:r>
              <w:t>%</w:t>
            </w:r>
          </w:p>
        </w:tc>
      </w:tr>
      <w:tr w:rsidR="00D95E97" w:rsidTr="00534ED9">
        <w:tc>
          <w:tcPr>
            <w:tcW w:w="1525" w:type="dxa"/>
          </w:tcPr>
          <w:p w:rsidR="00D95E97" w:rsidRDefault="00D95E97" w:rsidP="00532F0A">
            <w:r>
              <w:t>Total orientation</w:t>
            </w:r>
          </w:p>
        </w:tc>
        <w:tc>
          <w:tcPr>
            <w:tcW w:w="4140" w:type="dxa"/>
          </w:tcPr>
          <w:p w:rsidR="00D95E97" w:rsidRDefault="00001E82" w:rsidP="00532F0A">
            <w:r>
              <w:t>The orientation of the major axis of the object, in degrees. Orientation is defined in the upper hemisphere only, with values from 0-180 degrees.</w:t>
            </w:r>
          </w:p>
        </w:tc>
        <w:tc>
          <w:tcPr>
            <w:tcW w:w="3780" w:type="dxa"/>
          </w:tcPr>
          <w:p w:rsidR="00D95E97" w:rsidRDefault="00444304" w:rsidP="00532F0A">
            <w:r>
              <w:t>degree</w:t>
            </w:r>
          </w:p>
        </w:tc>
      </w:tr>
      <w:tr w:rsidR="00D95E97" w:rsidTr="00534ED9">
        <w:tc>
          <w:tcPr>
            <w:tcW w:w="1525" w:type="dxa"/>
          </w:tcPr>
          <w:p w:rsidR="00D95E97" w:rsidRDefault="00D95E97" w:rsidP="00532F0A">
            <w:r>
              <w:t>Eccentricity</w:t>
            </w:r>
          </w:p>
        </w:tc>
        <w:tc>
          <w:tcPr>
            <w:tcW w:w="4140" w:type="dxa"/>
          </w:tcPr>
          <w:p w:rsidR="00D95E97" w:rsidRDefault="0036541C" w:rsidP="0036541C">
            <w:r>
              <w:t xml:space="preserve">Eccentricity is a 2D shape analysis of discreet </w:t>
            </w:r>
            <w:proofErr w:type="spellStart"/>
            <w:r>
              <w:t>binarized</w:t>
            </w:r>
            <w:proofErr w:type="spellEnd"/>
            <w:r>
              <w:t xml:space="preserve"> objects. Objects are approximated as ellipses, and eccentricity is an elliptic parameter indicating departure from circular shape by lengthening (a circle is an ellipse with an eccentricity of zero). An ellipse is defined as having two focal points (F1 and F2), a center (C) and major and minor axes. The major axis is defined as 2a where </w:t>
            </w:r>
            <w:proofErr w:type="gramStart"/>
            <w:r>
              <w:t>a is</w:t>
            </w:r>
            <w:proofErr w:type="gramEnd"/>
            <w:r>
              <w:t xml:space="preserve"> the “semi major axis”; likewise, 2b is the minor axis. Eccentricity e is a function of the (semi)major and minor axes such that: e = </w:t>
            </w:r>
            <w:proofErr w:type="spellStart"/>
            <w:proofErr w:type="gramStart"/>
            <w:r>
              <w:t>sqrt</w:t>
            </w:r>
            <w:proofErr w:type="spellEnd"/>
            <w:r>
              <w:t>(</w:t>
            </w:r>
            <w:proofErr w:type="gramEnd"/>
            <w:r>
              <w:t xml:space="preserve">1-b^2/a^2). Higher eccentricity means generally elongated </w:t>
            </w:r>
            <w:r>
              <w:lastRenderedPageBreak/>
              <w:t>objects, while decreased values means an approach toward circular shape.</w:t>
            </w:r>
          </w:p>
        </w:tc>
        <w:tc>
          <w:tcPr>
            <w:tcW w:w="3780" w:type="dxa"/>
          </w:tcPr>
          <w:p w:rsidR="00D95E97" w:rsidRDefault="00D95E97" w:rsidP="00532F0A"/>
        </w:tc>
      </w:tr>
      <w:tr w:rsidR="00D95E97" w:rsidTr="00534ED9">
        <w:tc>
          <w:tcPr>
            <w:tcW w:w="1525" w:type="dxa"/>
          </w:tcPr>
          <w:p w:rsidR="00D95E97" w:rsidRDefault="00D95E97" w:rsidP="00532F0A">
            <w:r>
              <w:t xml:space="preserve">Structure thickness </w:t>
            </w:r>
          </w:p>
        </w:tc>
        <w:tc>
          <w:tcPr>
            <w:tcW w:w="4140" w:type="dxa"/>
          </w:tcPr>
          <w:p w:rsidR="00D95E97" w:rsidRDefault="0036541C" w:rsidP="00001E82">
            <w:r>
              <w:t xml:space="preserve">Calculation – or estimation – of </w:t>
            </w:r>
            <w:r w:rsidR="005A5939">
              <w:t>structure thick</w:t>
            </w:r>
            <w:r>
              <w:t>ness from 2D measurements requires an assumption about the nature of the structure (a “structural model”). Three simple structure models, the parallel plate, the cylinder rod and the sphere model, provide the range of values within which a hypothetical “true” thickness will be located. Thickness defined by these models (</w:t>
            </w:r>
            <w:proofErr w:type="spellStart"/>
            <w:r>
              <w:t>Parfitt</w:t>
            </w:r>
            <w:proofErr w:type="spellEnd"/>
            <w:r>
              <w:t xml:space="preserve"> et al. 1987) is given</w:t>
            </w:r>
            <w:r w:rsidR="00001E82">
              <w:t xml:space="preserve"> by the relation the surface to volume ratio (S/V) in </w:t>
            </w:r>
            <w:r w:rsidR="00001E82">
              <w:t>mm</w:t>
            </w:r>
            <w:r w:rsidR="00001E82">
              <w:rPr>
                <w:vertAlign w:val="superscript"/>
              </w:rPr>
              <w:t>-1</w:t>
            </w:r>
            <w:r w:rsidR="00001E82">
              <w:t xml:space="preserve">: </w:t>
            </w:r>
            <w:r>
              <w:t>Parallel plate model:</w:t>
            </w:r>
            <w:r w:rsidR="00001E82">
              <w:t xml:space="preserve"> 2/(S/V);</w:t>
            </w:r>
            <w:r>
              <w:t xml:space="preserve"> Cylinder rod model: </w:t>
            </w:r>
            <w:r w:rsidR="00001E82">
              <w:t xml:space="preserve">4/(S/V); </w:t>
            </w:r>
            <w:r>
              <w:t xml:space="preserve">Sphere model: </w:t>
            </w:r>
            <w:r w:rsidR="00001E82">
              <w:t>6/(s/V).</w:t>
            </w:r>
            <w:r>
              <w:t xml:space="preserve"> Note that for the above equations, if the surface measurements are made from one or a few 2D cros</w:t>
            </w:r>
            <w:r w:rsidR="005A5939">
              <w:t>s-</w:t>
            </w:r>
            <w:r w:rsidR="00001E82">
              <w:t>sectional slices</w:t>
            </w:r>
            <w:r>
              <w:t>, then the numerator (2, 4 or 6) should be divided by a correction factor of 1.199</w:t>
            </w:r>
            <w:r w:rsidR="00001E82">
              <w:t xml:space="preserve"> to approximate</w:t>
            </w:r>
            <w:r>
              <w:t xml:space="preserve"> a correction from 2D to 3D. </w:t>
            </w:r>
            <w:r w:rsidR="001B5B4B">
              <w:t>The plate model is used in these calculations.</w:t>
            </w:r>
          </w:p>
        </w:tc>
        <w:tc>
          <w:tcPr>
            <w:tcW w:w="3780" w:type="dxa"/>
          </w:tcPr>
          <w:p w:rsidR="00D95E97" w:rsidRDefault="00444304" w:rsidP="00532F0A">
            <w:r>
              <w:t>mm</w:t>
            </w:r>
          </w:p>
        </w:tc>
      </w:tr>
      <w:tr w:rsidR="00D95E97" w:rsidTr="00534ED9">
        <w:tc>
          <w:tcPr>
            <w:tcW w:w="1525" w:type="dxa"/>
          </w:tcPr>
          <w:p w:rsidR="00D95E97" w:rsidRDefault="00D95E97" w:rsidP="00532F0A">
            <w:r>
              <w:t>Structure separation</w:t>
            </w:r>
          </w:p>
        </w:tc>
        <w:tc>
          <w:tcPr>
            <w:tcW w:w="4140" w:type="dxa"/>
          </w:tcPr>
          <w:p w:rsidR="00D95E97" w:rsidRDefault="00001E82" w:rsidP="0037327B">
            <w:r>
              <w:t xml:space="preserve">Structure </w:t>
            </w:r>
            <w:r>
              <w:t xml:space="preserve">separation is essentially the thickness of the spaces as defined by </w:t>
            </w:r>
            <w:proofErr w:type="spellStart"/>
            <w:r>
              <w:t>binari</w:t>
            </w:r>
            <w:r>
              <w:t>z</w:t>
            </w:r>
            <w:r>
              <w:t>ation</w:t>
            </w:r>
            <w:proofErr w:type="spellEnd"/>
            <w:r>
              <w:t xml:space="preserve"> within the VOI. It can also be calculated from 2D images with model assumptions.</w:t>
            </w:r>
            <w:r>
              <w:t xml:space="preserve"> Structure separation can be defined by the parallel plate model (</w:t>
            </w:r>
            <w:proofErr w:type="gramStart"/>
            <w:r>
              <w:t>=(</w:t>
            </w:r>
            <w:proofErr w:type="gramEnd"/>
            <w:r>
              <w:t>1/structur</w:t>
            </w:r>
            <w:r w:rsidR="0037327B">
              <w:t>e</w:t>
            </w:r>
            <w:r>
              <w:t xml:space="preserve"> linear density)-structure thickness) and the cylinder/rod model: </w:t>
            </w:r>
            <w:r w:rsidR="0037327B">
              <w:t xml:space="preserve">structure diameter x </w:t>
            </w:r>
            <w:proofErr w:type="spellStart"/>
            <w:r w:rsidR="0037327B">
              <w:t>sqrt</w:t>
            </w:r>
            <w:proofErr w:type="spellEnd"/>
            <w:r w:rsidR="0037327B">
              <w:t>(pi/4 x total volume/solid volume)-1</w:t>
            </w:r>
            <w:r w:rsidR="001B5B4B">
              <w:t>. The plate model is used in these calculations.</w:t>
            </w:r>
          </w:p>
        </w:tc>
        <w:tc>
          <w:tcPr>
            <w:tcW w:w="3780" w:type="dxa"/>
          </w:tcPr>
          <w:p w:rsidR="00D95E97" w:rsidRDefault="00444304" w:rsidP="00532F0A">
            <w:r>
              <w:t>mm</w:t>
            </w:r>
          </w:p>
        </w:tc>
      </w:tr>
      <w:tr w:rsidR="00D95E97" w:rsidTr="00534ED9">
        <w:tc>
          <w:tcPr>
            <w:tcW w:w="1525" w:type="dxa"/>
          </w:tcPr>
          <w:p w:rsidR="00D95E97" w:rsidRDefault="00D95E97" w:rsidP="00532F0A">
            <w:r>
              <w:t>Structure linear density</w:t>
            </w:r>
          </w:p>
        </w:tc>
        <w:tc>
          <w:tcPr>
            <w:tcW w:w="4140" w:type="dxa"/>
          </w:tcPr>
          <w:p w:rsidR="00D95E97" w:rsidRDefault="0037327B" w:rsidP="005D4CC7">
            <w:r>
              <w:t>Structure linear density implies the number of traversals across a solid structure made per unit length by a random linear path through the volume of interest (VOI).</w:t>
            </w:r>
            <w:r>
              <w:t xml:space="preserve"> </w:t>
            </w:r>
            <w:r>
              <w:t xml:space="preserve">Plate and rod model 2D-based definitions of </w:t>
            </w:r>
            <w:r w:rsidR="005D4CC7">
              <w:t>structure linear density</w:t>
            </w:r>
            <w:r>
              <w:t xml:space="preserve"> again take the corresponding </w:t>
            </w:r>
            <w:r w:rsidR="005D4CC7">
              <w:t>structure thickness values.</w:t>
            </w:r>
            <w:r w:rsidR="001B5B4B">
              <w:t xml:space="preserve"> Plate model is used for these calculations.</w:t>
            </w:r>
          </w:p>
        </w:tc>
        <w:tc>
          <w:tcPr>
            <w:tcW w:w="3780" w:type="dxa"/>
          </w:tcPr>
          <w:p w:rsidR="00D95E97" w:rsidRDefault="00444304" w:rsidP="00532F0A">
            <w:r>
              <w:t>1/mm</w:t>
            </w:r>
          </w:p>
        </w:tc>
      </w:tr>
      <w:tr w:rsidR="00D95E97" w:rsidTr="00534ED9">
        <w:tc>
          <w:tcPr>
            <w:tcW w:w="1525" w:type="dxa"/>
          </w:tcPr>
          <w:p w:rsidR="00D95E97" w:rsidRDefault="00D95E97" w:rsidP="00532F0A">
            <w:r>
              <w:t>Fractal dimension</w:t>
            </w:r>
          </w:p>
        </w:tc>
        <w:tc>
          <w:tcPr>
            <w:tcW w:w="4140" w:type="dxa"/>
          </w:tcPr>
          <w:p w:rsidR="00D95E97" w:rsidRDefault="005D4CC7" w:rsidP="00532F0A">
            <w:r>
              <w:t>Fractal dimension is an indicator of surface complexity of an object, which quantifies how that object’s surface fills space.</w:t>
            </w:r>
            <w:r>
              <w:t xml:space="preserve"> </w:t>
            </w:r>
            <w:r>
              <w:t>Fractal dimension is calculated using the Kolmogorov or “box counting” method.</w:t>
            </w:r>
            <w:r>
              <w:t xml:space="preserve"> </w:t>
            </w:r>
            <w:r>
              <w:t xml:space="preserve">For 2D calculation of FD, the </w:t>
            </w:r>
            <w:proofErr w:type="spellStart"/>
            <w:r>
              <w:t>crossection</w:t>
            </w:r>
            <w:proofErr w:type="spellEnd"/>
            <w:r>
              <w:t xml:space="preserve"> image is divided into an array of equal squares, </w:t>
            </w:r>
            <w:r>
              <w:lastRenderedPageBreak/>
              <w:t>and the number of squares containing part of the object surface is counted. This is repeated over a range of square sizes such as 2-100 pixels. The number of squares containing surface is plotted against square length in a log-log plot, and the fractal dimension is obtained from the slope of the log-log regression.</w:t>
            </w:r>
          </w:p>
        </w:tc>
        <w:tc>
          <w:tcPr>
            <w:tcW w:w="3780" w:type="dxa"/>
          </w:tcPr>
          <w:p w:rsidR="00D95E97" w:rsidRDefault="00D95E97" w:rsidP="00532F0A"/>
        </w:tc>
      </w:tr>
      <w:tr w:rsidR="00D95E97" w:rsidTr="00534ED9">
        <w:tc>
          <w:tcPr>
            <w:tcW w:w="1525" w:type="dxa"/>
          </w:tcPr>
          <w:p w:rsidR="00D95E97" w:rsidRDefault="00D95E97" w:rsidP="00532F0A">
            <w:r>
              <w:t>Intersection Perimeter</w:t>
            </w:r>
          </w:p>
        </w:tc>
        <w:tc>
          <w:tcPr>
            <w:tcW w:w="4140" w:type="dxa"/>
          </w:tcPr>
          <w:p w:rsidR="00D95E97" w:rsidRDefault="005D4CC7" w:rsidP="001B5B4B">
            <w:r>
              <w:t xml:space="preserve">Intersection </w:t>
            </w:r>
            <w:r>
              <w:t>perimeter</w:t>
            </w:r>
            <w:r>
              <w:t xml:space="preserve"> is the </w:t>
            </w:r>
            <w:r>
              <w:t>perimeter</w:t>
            </w:r>
            <w:r>
              <w:t xml:space="preserve"> of the ROI intersected by solid </w:t>
            </w:r>
            <w:proofErr w:type="spellStart"/>
            <w:r>
              <w:t>binari</w:t>
            </w:r>
            <w:r w:rsidR="001B5B4B">
              <w:t>z</w:t>
            </w:r>
            <w:r>
              <w:t>ed</w:t>
            </w:r>
            <w:proofErr w:type="spellEnd"/>
            <w:r>
              <w:t xml:space="preserve"> objects, that is, the part of the ROI boundary surface that runs through solid objects.</w:t>
            </w:r>
            <w:r>
              <w:t xml:space="preserve"> </w:t>
            </w:r>
            <w:r>
              <w:t xml:space="preserve">The intersection </w:t>
            </w:r>
            <w:r>
              <w:t>perimeter</w:t>
            </w:r>
            <w:r>
              <w:t xml:space="preserve"> is calculated for each separate cros</w:t>
            </w:r>
            <w:r>
              <w:t>s-</w:t>
            </w:r>
            <w:r>
              <w:t xml:space="preserve">section level, but is also integrated over all VOI levels in the data summary at the head of the 2D analysis report. Note that the intersection </w:t>
            </w:r>
            <w:r>
              <w:t>perimeter</w:t>
            </w:r>
            <w:r>
              <w:t xml:space="preserve"> calculated in 2D does not include vertical (between-cro</w:t>
            </w:r>
            <w:r>
              <w:t>s</w:t>
            </w:r>
            <w:r>
              <w:t>s</w:t>
            </w:r>
            <w:r>
              <w:t>-</w:t>
            </w:r>
            <w:r>
              <w:t>section) surfaces, only perimeters of objects within cro</w:t>
            </w:r>
            <w:r>
              <w:t>s</w:t>
            </w:r>
            <w:r>
              <w:t>s</w:t>
            </w:r>
            <w:r>
              <w:t>-</w:t>
            </w:r>
            <w:r>
              <w:t xml:space="preserve">sections. </w:t>
            </w:r>
          </w:p>
        </w:tc>
        <w:tc>
          <w:tcPr>
            <w:tcW w:w="3780" w:type="dxa"/>
          </w:tcPr>
          <w:p w:rsidR="00D95E97" w:rsidRDefault="00444304" w:rsidP="00532F0A">
            <w:r>
              <w:t>mm</w:t>
            </w:r>
          </w:p>
        </w:tc>
      </w:tr>
    </w:tbl>
    <w:p w:rsidR="007E39E1" w:rsidRDefault="007E39E1" w:rsidP="00532F0A"/>
    <w:p w:rsidR="00534ED9" w:rsidRDefault="00534ED9" w:rsidP="00532F0A">
      <w:r>
        <w:t xml:space="preserve">Table 2. 3D </w:t>
      </w:r>
      <w:r w:rsidR="001B5B4B">
        <w:t>analysis data</w:t>
      </w:r>
    </w:p>
    <w:tbl>
      <w:tblPr>
        <w:tblStyle w:val="TableGrid"/>
        <w:tblW w:w="0" w:type="auto"/>
        <w:tblLook w:val="04A0" w:firstRow="1" w:lastRow="0" w:firstColumn="1" w:lastColumn="0" w:noHBand="0" w:noVBand="1"/>
      </w:tblPr>
      <w:tblGrid>
        <w:gridCol w:w="3116"/>
        <w:gridCol w:w="3117"/>
        <w:gridCol w:w="3117"/>
      </w:tblGrid>
      <w:tr w:rsidR="00534ED9" w:rsidTr="00534ED9">
        <w:tc>
          <w:tcPr>
            <w:tcW w:w="3116" w:type="dxa"/>
          </w:tcPr>
          <w:p w:rsidR="00534ED9" w:rsidRDefault="0077403E" w:rsidP="00532F0A">
            <w:r>
              <w:t>Total volume of interest</w:t>
            </w:r>
            <w:r w:rsidR="00BD0863">
              <w:t xml:space="preserve"> volume</w:t>
            </w:r>
          </w:p>
        </w:tc>
        <w:tc>
          <w:tcPr>
            <w:tcW w:w="3117" w:type="dxa"/>
          </w:tcPr>
          <w:p w:rsidR="00534ED9" w:rsidRDefault="0077403E" w:rsidP="00532F0A">
            <w:r>
              <w:t>Total volume of the volume-of-interest (VOI). The 3D volume measurement is based on the marching cubes volume model of the VOI.</w:t>
            </w:r>
          </w:p>
        </w:tc>
        <w:tc>
          <w:tcPr>
            <w:tcW w:w="3117" w:type="dxa"/>
          </w:tcPr>
          <w:p w:rsidR="00534ED9" w:rsidRDefault="003C11E3" w:rsidP="003C11E3">
            <w:r>
              <w:t>m</w:t>
            </w:r>
            <w:r>
              <w:t>m</w:t>
            </w:r>
            <w:r>
              <w:rPr>
                <w:vertAlign w:val="superscript"/>
              </w:rPr>
              <w:t>3</w:t>
            </w:r>
          </w:p>
        </w:tc>
      </w:tr>
      <w:tr w:rsidR="00534ED9" w:rsidTr="00534ED9">
        <w:tc>
          <w:tcPr>
            <w:tcW w:w="3116" w:type="dxa"/>
          </w:tcPr>
          <w:p w:rsidR="00534ED9" w:rsidRDefault="0077403E" w:rsidP="0077403E">
            <w:r>
              <w:t xml:space="preserve">Object volume </w:t>
            </w:r>
          </w:p>
        </w:tc>
        <w:tc>
          <w:tcPr>
            <w:tcW w:w="3117" w:type="dxa"/>
          </w:tcPr>
          <w:p w:rsidR="00534ED9" w:rsidRDefault="0077403E" w:rsidP="009A1F3A">
            <w:r>
              <w:t xml:space="preserve">Total volume of </w:t>
            </w:r>
            <w:proofErr w:type="spellStart"/>
            <w:r>
              <w:t>binari</w:t>
            </w:r>
            <w:r w:rsidR="009A1F3A">
              <w:t>z</w:t>
            </w:r>
            <w:r>
              <w:t>ed</w:t>
            </w:r>
            <w:proofErr w:type="spellEnd"/>
            <w:r>
              <w:t xml:space="preserve"> objects within the VOI. The 3D volume measurement is based on the marching cubes volume model of the </w:t>
            </w:r>
            <w:proofErr w:type="spellStart"/>
            <w:r>
              <w:t>binari</w:t>
            </w:r>
            <w:r w:rsidR="009A1F3A">
              <w:t>z</w:t>
            </w:r>
            <w:r>
              <w:t>ed</w:t>
            </w:r>
            <w:proofErr w:type="spellEnd"/>
            <w:r>
              <w:t xml:space="preserve"> objects within the VOI.</w:t>
            </w:r>
          </w:p>
        </w:tc>
        <w:tc>
          <w:tcPr>
            <w:tcW w:w="3117" w:type="dxa"/>
          </w:tcPr>
          <w:p w:rsidR="00534ED9" w:rsidRDefault="003C11E3" w:rsidP="003C11E3">
            <w:r>
              <w:t>m</w:t>
            </w:r>
            <w:r>
              <w:t>m</w:t>
            </w:r>
            <w:r>
              <w:rPr>
                <w:vertAlign w:val="superscript"/>
              </w:rPr>
              <w:t>3</w:t>
            </w:r>
          </w:p>
        </w:tc>
      </w:tr>
      <w:tr w:rsidR="00534ED9" w:rsidTr="00534ED9">
        <w:tc>
          <w:tcPr>
            <w:tcW w:w="3116" w:type="dxa"/>
          </w:tcPr>
          <w:p w:rsidR="00534ED9" w:rsidRDefault="0077403E" w:rsidP="00532F0A">
            <w:r>
              <w:t>Percent object volume</w:t>
            </w:r>
          </w:p>
        </w:tc>
        <w:tc>
          <w:tcPr>
            <w:tcW w:w="3117" w:type="dxa"/>
          </w:tcPr>
          <w:p w:rsidR="00534ED9" w:rsidRDefault="0077403E" w:rsidP="009A1F3A">
            <w:r>
              <w:t xml:space="preserve">The proportion of the VOI occupied by </w:t>
            </w:r>
            <w:proofErr w:type="spellStart"/>
            <w:r>
              <w:t>binari</w:t>
            </w:r>
            <w:r w:rsidR="009A1F3A">
              <w:t>z</w:t>
            </w:r>
            <w:r>
              <w:t>ed</w:t>
            </w:r>
            <w:proofErr w:type="spellEnd"/>
            <w:r>
              <w:t xml:space="preserve"> solid objects.</w:t>
            </w:r>
            <w:r w:rsidR="009A1F3A">
              <w:t xml:space="preserve"> This parameter is only relevant if the studied volume is fully contained within a well-defined biphasic region of solid and space, and does not for example extend into or beyond the boundary of the object. The meaningfulness of measured percent volume depends on the criteria applied in selecting the </w:t>
            </w:r>
            <w:r w:rsidR="009A1F3A">
              <w:lastRenderedPageBreak/>
              <w:t>volume of interest. Where the ROI / VOI boundaries are loosely drawn in the surrounding space around an object for instance, then % object volume has no meaning.</w:t>
            </w:r>
          </w:p>
        </w:tc>
        <w:tc>
          <w:tcPr>
            <w:tcW w:w="3117" w:type="dxa"/>
          </w:tcPr>
          <w:p w:rsidR="00534ED9" w:rsidRDefault="0077403E" w:rsidP="00532F0A">
            <w:r>
              <w:lastRenderedPageBreak/>
              <w:t>%</w:t>
            </w:r>
          </w:p>
        </w:tc>
      </w:tr>
      <w:tr w:rsidR="00534ED9" w:rsidTr="00534ED9">
        <w:tc>
          <w:tcPr>
            <w:tcW w:w="3116" w:type="dxa"/>
          </w:tcPr>
          <w:p w:rsidR="00534ED9" w:rsidRDefault="00BD0863" w:rsidP="00532F0A">
            <w:r>
              <w:t xml:space="preserve">Total </w:t>
            </w:r>
            <w:r w:rsidR="0077403E">
              <w:t>VOI surface</w:t>
            </w:r>
          </w:p>
        </w:tc>
        <w:tc>
          <w:tcPr>
            <w:tcW w:w="3117" w:type="dxa"/>
          </w:tcPr>
          <w:p w:rsidR="00534ED9" w:rsidRDefault="0077403E" w:rsidP="00532F0A">
            <w:r>
              <w:t>The surface area of the volume of interest, measured in 3D (Marching cubes method).</w:t>
            </w:r>
          </w:p>
        </w:tc>
        <w:tc>
          <w:tcPr>
            <w:tcW w:w="3117" w:type="dxa"/>
          </w:tcPr>
          <w:p w:rsidR="00534ED9" w:rsidRDefault="003C11E3" w:rsidP="00532F0A">
            <w:r>
              <w:t>mm</w:t>
            </w:r>
            <w:r w:rsidRPr="009A1F3A">
              <w:rPr>
                <w:vertAlign w:val="superscript"/>
              </w:rPr>
              <w:t>2</w:t>
            </w:r>
          </w:p>
        </w:tc>
      </w:tr>
      <w:tr w:rsidR="00534ED9" w:rsidTr="00534ED9">
        <w:tc>
          <w:tcPr>
            <w:tcW w:w="3116" w:type="dxa"/>
          </w:tcPr>
          <w:p w:rsidR="00534ED9" w:rsidRDefault="0077403E" w:rsidP="00532F0A">
            <w:r>
              <w:t>Object surface</w:t>
            </w:r>
          </w:p>
        </w:tc>
        <w:tc>
          <w:tcPr>
            <w:tcW w:w="3117" w:type="dxa"/>
          </w:tcPr>
          <w:p w:rsidR="00534ED9" w:rsidRDefault="0077403E" w:rsidP="00532F0A">
            <w:r>
              <w:t>The surface area of all the solid objects within the VOI, measured in 3D (Marching cubes method).</w:t>
            </w:r>
          </w:p>
        </w:tc>
        <w:tc>
          <w:tcPr>
            <w:tcW w:w="3117" w:type="dxa"/>
          </w:tcPr>
          <w:p w:rsidR="00534ED9" w:rsidRDefault="003C11E3" w:rsidP="00532F0A">
            <w:r>
              <w:t>mm</w:t>
            </w:r>
            <w:r w:rsidRPr="009A1F3A">
              <w:rPr>
                <w:vertAlign w:val="superscript"/>
              </w:rPr>
              <w:t>2</w:t>
            </w:r>
          </w:p>
        </w:tc>
      </w:tr>
      <w:tr w:rsidR="0077403E" w:rsidTr="00534ED9">
        <w:tc>
          <w:tcPr>
            <w:tcW w:w="3116" w:type="dxa"/>
          </w:tcPr>
          <w:p w:rsidR="0077403E" w:rsidRDefault="0077403E" w:rsidP="00532F0A">
            <w:r>
              <w:t>Intersection surface</w:t>
            </w:r>
          </w:p>
        </w:tc>
        <w:tc>
          <w:tcPr>
            <w:tcW w:w="3117" w:type="dxa"/>
          </w:tcPr>
          <w:p w:rsidR="0077403E" w:rsidRDefault="0077403E" w:rsidP="009A1F3A">
            <w:r>
              <w:t xml:space="preserve">Intersection surface is the surface of the VOI intersected by solid </w:t>
            </w:r>
            <w:proofErr w:type="spellStart"/>
            <w:r>
              <w:t>binari</w:t>
            </w:r>
            <w:r w:rsidR="009A1F3A">
              <w:t>z</w:t>
            </w:r>
            <w:r>
              <w:t>ed</w:t>
            </w:r>
            <w:proofErr w:type="spellEnd"/>
            <w:r w:rsidR="009A1F3A">
              <w:t xml:space="preserve"> objects, or the</w:t>
            </w:r>
            <w:r>
              <w:t xml:space="preserve"> part of the VOI boundary surface that runs through solid objects.</w:t>
            </w:r>
          </w:p>
        </w:tc>
        <w:tc>
          <w:tcPr>
            <w:tcW w:w="3117" w:type="dxa"/>
          </w:tcPr>
          <w:p w:rsidR="0077403E" w:rsidRDefault="0077403E" w:rsidP="009A1F3A">
            <w:r>
              <w:t>mm</w:t>
            </w:r>
            <w:r w:rsidRPr="009A1F3A">
              <w:rPr>
                <w:vertAlign w:val="superscript"/>
              </w:rPr>
              <w:t>2</w:t>
            </w:r>
          </w:p>
        </w:tc>
      </w:tr>
      <w:tr w:rsidR="0077403E" w:rsidTr="00534ED9">
        <w:tc>
          <w:tcPr>
            <w:tcW w:w="3116" w:type="dxa"/>
          </w:tcPr>
          <w:p w:rsidR="0077403E" w:rsidRDefault="0077403E" w:rsidP="00532F0A">
            <w:r>
              <w:t>Object surface / volume ratio</w:t>
            </w:r>
          </w:p>
        </w:tc>
        <w:tc>
          <w:tcPr>
            <w:tcW w:w="3117" w:type="dxa"/>
          </w:tcPr>
          <w:p w:rsidR="0077403E" w:rsidRDefault="0077403E" w:rsidP="009A1F3A">
            <w:r>
              <w:t>The ratio of solid surface to volume measured in 3D within the VOI.</w:t>
            </w:r>
            <w:r w:rsidR="009A1F3A">
              <w:t xml:space="preserve"> Surface to volume ratio or “specific surface” is a useful basic parameter for characterizing the thickness and complexity of structures.</w:t>
            </w:r>
          </w:p>
        </w:tc>
        <w:tc>
          <w:tcPr>
            <w:tcW w:w="3117" w:type="dxa"/>
          </w:tcPr>
          <w:p w:rsidR="0077403E" w:rsidRDefault="003C11E3" w:rsidP="00DB71FC">
            <w:r>
              <w:t>1/mm</w:t>
            </w:r>
          </w:p>
        </w:tc>
      </w:tr>
      <w:tr w:rsidR="0077403E" w:rsidTr="00534ED9">
        <w:tc>
          <w:tcPr>
            <w:tcW w:w="3116" w:type="dxa"/>
          </w:tcPr>
          <w:p w:rsidR="0077403E" w:rsidRDefault="00DB71FC" w:rsidP="00532F0A">
            <w:r>
              <w:t>Object surface density</w:t>
            </w:r>
          </w:p>
        </w:tc>
        <w:tc>
          <w:tcPr>
            <w:tcW w:w="3117" w:type="dxa"/>
          </w:tcPr>
          <w:p w:rsidR="0077403E" w:rsidRDefault="00DB71FC" w:rsidP="00532F0A">
            <w:r>
              <w:t>The ratio of surface area to total volume measured as described above in 3D, within the VOI.</w:t>
            </w:r>
          </w:p>
        </w:tc>
        <w:tc>
          <w:tcPr>
            <w:tcW w:w="3117" w:type="dxa"/>
          </w:tcPr>
          <w:p w:rsidR="0077403E" w:rsidRDefault="00BD0863" w:rsidP="00532F0A">
            <w:r>
              <w:t>1/mm</w:t>
            </w:r>
          </w:p>
        </w:tc>
      </w:tr>
      <w:tr w:rsidR="00BD0863" w:rsidTr="00534ED9">
        <w:tc>
          <w:tcPr>
            <w:tcW w:w="3116" w:type="dxa"/>
          </w:tcPr>
          <w:p w:rsidR="00BD0863" w:rsidRDefault="00BD0863" w:rsidP="00BD0863">
            <w:pPr>
              <w:rPr>
                <w:rFonts w:ascii="Calibri" w:hAnsi="Calibri" w:cs="Calibri"/>
                <w:color w:val="000000"/>
              </w:rPr>
            </w:pPr>
            <w:r>
              <w:rPr>
                <w:rFonts w:ascii="Calibri" w:hAnsi="Calibri" w:cs="Calibri"/>
                <w:color w:val="000000"/>
              </w:rPr>
              <w:t>Surface convexity index</w:t>
            </w:r>
          </w:p>
          <w:p w:rsidR="00BD0863" w:rsidRDefault="00BD0863" w:rsidP="00532F0A"/>
        </w:tc>
        <w:tc>
          <w:tcPr>
            <w:tcW w:w="3117" w:type="dxa"/>
          </w:tcPr>
          <w:p w:rsidR="00BD0863" w:rsidRDefault="00BD0863" w:rsidP="00532F0A">
            <w:r>
              <w:t xml:space="preserve">The surface convexity index calculates an index of relative convexity or concavity of the total solid surface, on the principle that concavity indicates connectivity, and convexity indicates isolated disconnected structures. Where structural results in enclosed air spaces, then dilation of solid surfaces will contract the surface. By contrast, open ends will have their surface expanded by surface dilation. As a result, lower surface convexity index signifies better connected trabecular lattices while higher surface convexity index means a </w:t>
            </w:r>
            <w:r>
              <w:lastRenderedPageBreak/>
              <w:t>more disconnected solid structure. A prevalence of enclosed cavities and concave surfaces results in negative values. This parameter is best considered as a relative index for comparing different scanned objects; its absolute value does not have much meaning.</w:t>
            </w:r>
          </w:p>
        </w:tc>
        <w:tc>
          <w:tcPr>
            <w:tcW w:w="3117" w:type="dxa"/>
          </w:tcPr>
          <w:p w:rsidR="00BD0863" w:rsidRDefault="00BD0863" w:rsidP="00532F0A">
            <w:r>
              <w:lastRenderedPageBreak/>
              <w:t>1/mm</w:t>
            </w:r>
          </w:p>
        </w:tc>
      </w:tr>
      <w:tr w:rsidR="0077403E" w:rsidTr="00534ED9">
        <w:tc>
          <w:tcPr>
            <w:tcW w:w="3116" w:type="dxa"/>
          </w:tcPr>
          <w:p w:rsidR="0077403E" w:rsidRDefault="00DB71FC" w:rsidP="003C11E3">
            <w:r>
              <w:t xml:space="preserve">Centroids </w:t>
            </w:r>
            <w:r w:rsidR="003C11E3">
              <w:t>x</w:t>
            </w:r>
            <w:r>
              <w:t xml:space="preserve">, </w:t>
            </w:r>
            <w:r w:rsidR="003C11E3">
              <w:t>y</w:t>
            </w:r>
            <w:r>
              <w:t xml:space="preserve">, </w:t>
            </w:r>
            <w:r w:rsidR="003C11E3">
              <w:t>z</w:t>
            </w:r>
          </w:p>
        </w:tc>
        <w:tc>
          <w:tcPr>
            <w:tcW w:w="3117" w:type="dxa"/>
          </w:tcPr>
          <w:p w:rsidR="0077403E" w:rsidRDefault="00DB71FC" w:rsidP="00532F0A">
            <w:r>
              <w:t xml:space="preserve">The centroid is the 3D XYZ coordinate of the average Cartesian </w:t>
            </w:r>
            <w:proofErr w:type="spellStart"/>
            <w:r>
              <w:t>vectorial</w:t>
            </w:r>
            <w:proofErr w:type="spellEnd"/>
            <w:r>
              <w:t xml:space="preserve"> position of all voxels within the VOI.</w:t>
            </w:r>
          </w:p>
        </w:tc>
        <w:tc>
          <w:tcPr>
            <w:tcW w:w="3117" w:type="dxa"/>
          </w:tcPr>
          <w:p w:rsidR="0077403E" w:rsidRDefault="00DB71FC" w:rsidP="00532F0A">
            <w:r>
              <w:t>mm</w:t>
            </w:r>
          </w:p>
        </w:tc>
      </w:tr>
      <w:tr w:rsidR="00BD0863" w:rsidTr="00534ED9">
        <w:tc>
          <w:tcPr>
            <w:tcW w:w="3116" w:type="dxa"/>
          </w:tcPr>
          <w:p w:rsidR="00BD0863" w:rsidRDefault="00BD0863" w:rsidP="003C11E3">
            <w:r>
              <w:t xml:space="preserve">Moments of inertia </w:t>
            </w:r>
            <w:r w:rsidR="003C11E3">
              <w:t>x</w:t>
            </w:r>
            <w:r>
              <w:t xml:space="preserve">, </w:t>
            </w:r>
            <w:r w:rsidR="003C11E3">
              <w:t>y</w:t>
            </w:r>
            <w:r>
              <w:t xml:space="preserve">, </w:t>
            </w:r>
            <w:r w:rsidR="003C11E3">
              <w:t>z</w:t>
            </w:r>
          </w:p>
        </w:tc>
        <w:tc>
          <w:tcPr>
            <w:tcW w:w="3117" w:type="dxa"/>
          </w:tcPr>
          <w:p w:rsidR="00BD0863" w:rsidRDefault="003C11E3" w:rsidP="00532F0A">
            <w:r>
              <w:t xml:space="preserve">The moment of inertia </w:t>
            </w:r>
            <w:r>
              <w:t>is a basic strength index and indicates the resistance to rotation of a cro</w:t>
            </w:r>
            <w:r>
              <w:t>s</w:t>
            </w:r>
            <w:r>
              <w:t>s</w:t>
            </w:r>
            <w:r>
              <w:t>-</w:t>
            </w:r>
            <w:r>
              <w:t>section about a chosen axis (assuming uniform material stress-strain strength properties). Moment of inertia is the rotational analogue of mass for linear motion and must be specified with respect to a chosen axis of rotation. For a point mass (represented by an image pixel) the moment of inertia (I) is simply the mass (m) times the square of perpendicular distance (r) to the rotation axis, I = mr</w:t>
            </w:r>
            <w:r w:rsidRPr="003C11E3">
              <w:rPr>
                <w:vertAlign w:val="superscript"/>
              </w:rPr>
              <w:t>2</w:t>
            </w:r>
            <w:r>
              <w:t>.</w:t>
            </w:r>
          </w:p>
        </w:tc>
        <w:tc>
          <w:tcPr>
            <w:tcW w:w="3117" w:type="dxa"/>
          </w:tcPr>
          <w:p w:rsidR="00BD0863" w:rsidRDefault="003C11E3" w:rsidP="00532F0A">
            <w:r>
              <w:t>m</w:t>
            </w:r>
            <w:r>
              <w:t>m</w:t>
            </w:r>
            <w:r>
              <w:rPr>
                <w:vertAlign w:val="superscript"/>
              </w:rPr>
              <w:t>5</w:t>
            </w:r>
          </w:p>
        </w:tc>
      </w:tr>
      <w:tr w:rsidR="003C11E3" w:rsidTr="00534ED9">
        <w:tc>
          <w:tcPr>
            <w:tcW w:w="3116" w:type="dxa"/>
          </w:tcPr>
          <w:p w:rsidR="003C11E3" w:rsidRPr="003C11E3" w:rsidRDefault="003C11E3" w:rsidP="00532F0A">
            <w:pPr>
              <w:rPr>
                <w:rFonts w:ascii="Calibri" w:hAnsi="Calibri" w:cs="Calibri"/>
                <w:color w:val="000000"/>
              </w:rPr>
            </w:pPr>
            <w:r>
              <w:rPr>
                <w:rFonts w:ascii="Calibri" w:hAnsi="Calibri" w:cs="Calibri"/>
                <w:color w:val="000000"/>
              </w:rPr>
              <w:t>Polar moment of inertia</w:t>
            </w:r>
          </w:p>
        </w:tc>
        <w:tc>
          <w:tcPr>
            <w:tcW w:w="3117" w:type="dxa"/>
          </w:tcPr>
          <w:p w:rsidR="003C11E3" w:rsidRDefault="003C11E3" w:rsidP="00532F0A">
            <w:r>
              <w:t xml:space="preserve">The </w:t>
            </w:r>
            <w:r>
              <w:t xml:space="preserve">polar </w:t>
            </w:r>
            <w:r>
              <w:t>moment of inertia is a basic strength index</w:t>
            </w:r>
            <w:r>
              <w:t xml:space="preserve"> in polar coordinates</w:t>
            </w:r>
            <w:r>
              <w:t xml:space="preserve"> and indicates the resistance to rotation of a cross-section about a chosen axis (assuming uniform material stress-strain strength properties). Moment of inertia is the rotational analogue of mass for linear motion and must be specified with respect to a chosen axis of rotation. For a point mass (represented by an image pixel) the moment of inertia (I) is simply the mass (m) times the square of perpendicular distance (r) to the rotation axis, I = mr</w:t>
            </w:r>
            <w:r w:rsidRPr="003C11E3">
              <w:rPr>
                <w:vertAlign w:val="superscript"/>
              </w:rPr>
              <w:t>2</w:t>
            </w:r>
            <w:r>
              <w:t>.</w:t>
            </w:r>
          </w:p>
        </w:tc>
        <w:tc>
          <w:tcPr>
            <w:tcW w:w="3117" w:type="dxa"/>
          </w:tcPr>
          <w:p w:rsidR="003C11E3" w:rsidRDefault="003C11E3" w:rsidP="00532F0A">
            <w:r>
              <w:t>mm</w:t>
            </w:r>
            <w:r>
              <w:rPr>
                <w:vertAlign w:val="superscript"/>
              </w:rPr>
              <w:t>5</w:t>
            </w:r>
          </w:p>
        </w:tc>
      </w:tr>
      <w:tr w:rsidR="003C11E3" w:rsidTr="00534ED9">
        <w:tc>
          <w:tcPr>
            <w:tcW w:w="3116" w:type="dxa"/>
          </w:tcPr>
          <w:p w:rsidR="003C11E3" w:rsidRDefault="003C11E3" w:rsidP="003C11E3">
            <w:pPr>
              <w:rPr>
                <w:rFonts w:ascii="Calibri" w:hAnsi="Calibri" w:cs="Calibri"/>
                <w:color w:val="000000"/>
              </w:rPr>
            </w:pPr>
            <w:r>
              <w:rPr>
                <w:rFonts w:ascii="Calibri" w:hAnsi="Calibri" w:cs="Calibri"/>
                <w:color w:val="000000"/>
              </w:rPr>
              <w:lastRenderedPageBreak/>
              <w:t>Radius of gyration (x, y, z)</w:t>
            </w:r>
          </w:p>
          <w:p w:rsidR="003C11E3" w:rsidRDefault="003C11E3" w:rsidP="00532F0A">
            <w:pPr>
              <w:rPr>
                <w:rFonts w:ascii="Calibri" w:hAnsi="Calibri" w:cs="Calibri"/>
                <w:color w:val="000000"/>
              </w:rPr>
            </w:pPr>
          </w:p>
        </w:tc>
        <w:tc>
          <w:tcPr>
            <w:tcW w:w="3117" w:type="dxa"/>
          </w:tcPr>
          <w:p w:rsidR="003C11E3" w:rsidRDefault="003C11E3" w:rsidP="003C11E3">
            <w:r>
              <w:rPr>
                <w:rFonts w:ascii="Arial" w:hAnsi="Arial" w:cs="Arial"/>
                <w:color w:val="202122"/>
                <w:sz w:val="21"/>
                <w:szCs w:val="21"/>
                <w:shd w:val="clear" w:color="auto" w:fill="FFFFFF"/>
              </w:rPr>
              <w:t xml:space="preserve">The radius of gyration is defined as </w:t>
            </w:r>
            <w:r>
              <w:rPr>
                <w:rFonts w:ascii="Arial" w:hAnsi="Arial" w:cs="Arial"/>
                <w:color w:val="202122"/>
                <w:sz w:val="21"/>
                <w:szCs w:val="21"/>
                <w:shd w:val="clear" w:color="auto" w:fill="FFFFFF"/>
              </w:rPr>
              <w:t>the radial distance to a point which would have a </w:t>
            </w:r>
            <w:r>
              <w:t>moment of inertia</w:t>
            </w:r>
            <w:r>
              <w:rPr>
                <w:rFonts w:ascii="Arial" w:hAnsi="Arial" w:cs="Arial"/>
                <w:color w:val="202122"/>
                <w:sz w:val="21"/>
                <w:szCs w:val="21"/>
                <w:shd w:val="clear" w:color="auto" w:fill="FFFFFF"/>
              </w:rPr>
              <w:t> the same as the body's actual distribution of mass, if the total mass of the body were concentrated there.</w:t>
            </w:r>
          </w:p>
        </w:tc>
        <w:tc>
          <w:tcPr>
            <w:tcW w:w="3117" w:type="dxa"/>
          </w:tcPr>
          <w:p w:rsidR="003C11E3" w:rsidRDefault="003C11E3" w:rsidP="00532F0A">
            <w:r>
              <w:t>mm</w:t>
            </w:r>
          </w:p>
        </w:tc>
      </w:tr>
      <w:tr w:rsidR="003C11E3" w:rsidTr="00534ED9">
        <w:tc>
          <w:tcPr>
            <w:tcW w:w="3116" w:type="dxa"/>
          </w:tcPr>
          <w:p w:rsidR="003C11E3" w:rsidRDefault="003C11E3" w:rsidP="003C11E3">
            <w:pPr>
              <w:rPr>
                <w:rFonts w:ascii="Calibri" w:hAnsi="Calibri" w:cs="Calibri"/>
                <w:color w:val="000000"/>
              </w:rPr>
            </w:pPr>
            <w:r>
              <w:rPr>
                <w:rFonts w:ascii="Calibri" w:hAnsi="Calibri" w:cs="Calibri"/>
                <w:color w:val="000000"/>
              </w:rPr>
              <w:t>Polar radius of gyration</w:t>
            </w:r>
          </w:p>
        </w:tc>
        <w:tc>
          <w:tcPr>
            <w:tcW w:w="3117" w:type="dxa"/>
          </w:tcPr>
          <w:p w:rsidR="003C11E3" w:rsidRDefault="003C11E3" w:rsidP="003C11E3">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radius of gyration</w:t>
            </w:r>
            <w:r>
              <w:rPr>
                <w:rFonts w:ascii="Arial" w:hAnsi="Arial" w:cs="Arial"/>
                <w:color w:val="202122"/>
                <w:sz w:val="21"/>
                <w:szCs w:val="21"/>
                <w:shd w:val="clear" w:color="auto" w:fill="FFFFFF"/>
              </w:rPr>
              <w:t xml:space="preserve"> in polar coordinates</w:t>
            </w:r>
            <w:r>
              <w:rPr>
                <w:rFonts w:ascii="Arial" w:hAnsi="Arial" w:cs="Arial"/>
                <w:color w:val="202122"/>
                <w:sz w:val="21"/>
                <w:szCs w:val="21"/>
                <w:shd w:val="clear" w:color="auto" w:fill="FFFFFF"/>
              </w:rPr>
              <w:t xml:space="preserve"> is defined as the radial distance to a point which would have a </w:t>
            </w:r>
            <w:r>
              <w:t>moment of inertia</w:t>
            </w:r>
            <w:r>
              <w:rPr>
                <w:rFonts w:ascii="Arial" w:hAnsi="Arial" w:cs="Arial"/>
                <w:color w:val="202122"/>
                <w:sz w:val="21"/>
                <w:szCs w:val="21"/>
                <w:shd w:val="clear" w:color="auto" w:fill="FFFFFF"/>
              </w:rPr>
              <w:t> the same as the body's actual distribution of mass, if the total mass of the body were concentrated there.</w:t>
            </w:r>
          </w:p>
        </w:tc>
        <w:tc>
          <w:tcPr>
            <w:tcW w:w="3117" w:type="dxa"/>
          </w:tcPr>
          <w:p w:rsidR="003C11E3" w:rsidRDefault="003C11E3" w:rsidP="00532F0A">
            <w:r>
              <w:t>mm</w:t>
            </w:r>
          </w:p>
        </w:tc>
      </w:tr>
      <w:tr w:rsidR="003C11E3" w:rsidTr="00534ED9">
        <w:tc>
          <w:tcPr>
            <w:tcW w:w="3116" w:type="dxa"/>
          </w:tcPr>
          <w:p w:rsidR="003C11E3" w:rsidRDefault="003C11E3" w:rsidP="003C11E3">
            <w:pPr>
              <w:rPr>
                <w:rFonts w:ascii="Calibri" w:hAnsi="Calibri" w:cs="Calibri"/>
                <w:color w:val="000000"/>
              </w:rPr>
            </w:pPr>
            <w:r>
              <w:rPr>
                <w:rFonts w:ascii="Calibri" w:hAnsi="Calibri" w:cs="Calibri"/>
                <w:color w:val="000000"/>
              </w:rPr>
              <w:t>Product of inertia (</w:t>
            </w:r>
            <w:proofErr w:type="spellStart"/>
            <w:r>
              <w:rPr>
                <w:rFonts w:ascii="Calibri" w:hAnsi="Calibri" w:cs="Calibri"/>
                <w:color w:val="000000"/>
              </w:rPr>
              <w:t>xy</w:t>
            </w:r>
            <w:proofErr w:type="spellEnd"/>
            <w:r>
              <w:rPr>
                <w:rFonts w:ascii="Calibri" w:hAnsi="Calibri" w:cs="Calibri"/>
                <w:color w:val="000000"/>
              </w:rPr>
              <w:t xml:space="preserve">, </w:t>
            </w:r>
            <w:proofErr w:type="spellStart"/>
            <w:r>
              <w:rPr>
                <w:rFonts w:ascii="Calibri" w:hAnsi="Calibri" w:cs="Calibri"/>
                <w:color w:val="000000"/>
              </w:rPr>
              <w:t>xz</w:t>
            </w:r>
            <w:proofErr w:type="spellEnd"/>
            <w:r>
              <w:rPr>
                <w:rFonts w:ascii="Calibri" w:hAnsi="Calibri" w:cs="Calibri"/>
                <w:color w:val="000000"/>
              </w:rPr>
              <w:t xml:space="preserve">, </w:t>
            </w:r>
            <w:proofErr w:type="spellStart"/>
            <w:r>
              <w:rPr>
                <w:rFonts w:ascii="Calibri" w:hAnsi="Calibri" w:cs="Calibri"/>
                <w:color w:val="000000"/>
              </w:rPr>
              <w:t>yz</w:t>
            </w:r>
            <w:proofErr w:type="spellEnd"/>
            <w:r>
              <w:rPr>
                <w:rFonts w:ascii="Calibri" w:hAnsi="Calibri" w:cs="Calibri"/>
                <w:color w:val="000000"/>
              </w:rPr>
              <w:t>)</w:t>
            </w:r>
          </w:p>
        </w:tc>
        <w:tc>
          <w:tcPr>
            <w:tcW w:w="3117" w:type="dxa"/>
          </w:tcPr>
          <w:p w:rsidR="003C11E3" w:rsidRDefault="0085263C" w:rsidP="0085263C">
            <w:pPr>
              <w:rPr>
                <w:rFonts w:ascii="Arial" w:hAnsi="Arial" w:cs="Arial"/>
                <w:color w:val="202122"/>
                <w:sz w:val="21"/>
                <w:szCs w:val="21"/>
                <w:shd w:val="clear" w:color="auto" w:fill="FFFFFF"/>
              </w:rPr>
            </w:pPr>
            <w:r w:rsidRPr="0085263C">
              <w:rPr>
                <w:rFonts w:ascii="Arial" w:hAnsi="Arial" w:cs="Arial"/>
                <w:bCs/>
                <w:color w:val="202124"/>
                <w:shd w:val="clear" w:color="auto" w:fill="FFFFFF"/>
              </w:rPr>
              <w:t xml:space="preserve">The </w:t>
            </w:r>
            <w:r>
              <w:rPr>
                <w:rFonts w:ascii="Arial" w:hAnsi="Arial" w:cs="Arial"/>
                <w:bCs/>
                <w:color w:val="202124"/>
                <w:shd w:val="clear" w:color="auto" w:fill="FFFFFF"/>
              </w:rPr>
              <w:t>p</w:t>
            </w:r>
            <w:r w:rsidRPr="0085263C">
              <w:rPr>
                <w:rFonts w:ascii="Arial" w:hAnsi="Arial" w:cs="Arial"/>
                <w:bCs/>
                <w:color w:val="202124"/>
                <w:shd w:val="clear" w:color="auto" w:fill="FFFFFF"/>
              </w:rPr>
              <w:t>roducts of inertia</w:t>
            </w:r>
            <w:r>
              <w:rPr>
                <w:rFonts w:ascii="Arial" w:hAnsi="Arial" w:cs="Arial"/>
                <w:color w:val="202124"/>
                <w:shd w:val="clear" w:color="auto" w:fill="FFFFFF"/>
              </w:rPr>
              <w:t> are the sums of the </w:t>
            </w:r>
            <w:r w:rsidRPr="0085263C">
              <w:rPr>
                <w:rFonts w:ascii="Arial" w:hAnsi="Arial" w:cs="Arial"/>
                <w:bCs/>
                <w:color w:val="202124"/>
                <w:shd w:val="clear" w:color="auto" w:fill="FFFFFF"/>
              </w:rPr>
              <w:t>products</w:t>
            </w:r>
            <w:r>
              <w:rPr>
                <w:rFonts w:ascii="Arial" w:hAnsi="Arial" w:cs="Arial"/>
                <w:color w:val="202124"/>
                <w:shd w:val="clear" w:color="auto" w:fill="FFFFFF"/>
              </w:rPr>
              <w:t xml:space="preserve"> formed by multiplying the mass </w:t>
            </w:r>
            <w:r>
              <w:rPr>
                <w:rFonts w:ascii="Arial" w:hAnsi="Arial" w:cs="Arial"/>
                <w:color w:val="202124"/>
                <w:shd w:val="clear" w:color="auto" w:fill="FFFFFF"/>
              </w:rPr>
              <w:t>(</w:t>
            </w:r>
            <w:r>
              <w:rPr>
                <w:rFonts w:ascii="Arial" w:hAnsi="Arial" w:cs="Arial"/>
                <w:color w:val="202124"/>
                <w:shd w:val="clear" w:color="auto" w:fill="FFFFFF"/>
              </w:rPr>
              <w:t>m</w:t>
            </w:r>
            <w:r>
              <w:rPr>
                <w:rFonts w:ascii="Arial" w:hAnsi="Arial" w:cs="Arial"/>
                <w:color w:val="202124"/>
                <w:shd w:val="clear" w:color="auto" w:fill="FFFFFF"/>
              </w:rPr>
              <w:t>)</w:t>
            </w:r>
            <w:r>
              <w:rPr>
                <w:rFonts w:ascii="Arial" w:hAnsi="Arial" w:cs="Arial"/>
                <w:color w:val="202124"/>
                <w:shd w:val="clear" w:color="auto" w:fill="FFFFFF"/>
              </w:rPr>
              <w:t xml:space="preserve"> of each point of the body or system by the product of two of the </w:t>
            </w:r>
            <w:proofErr w:type="gramStart"/>
            <w:r>
              <w:rPr>
                <w:rFonts w:ascii="Arial" w:hAnsi="Arial" w:cs="Arial"/>
                <w:color w:val="202124"/>
                <w:shd w:val="clear" w:color="auto" w:fill="FFFFFF"/>
              </w:rPr>
              <w:t>coordinates</w:t>
            </w:r>
            <w:proofErr w:type="gramEnd"/>
            <w:r>
              <w:rPr>
                <w:rFonts w:ascii="Arial" w:hAnsi="Arial" w:cs="Arial"/>
                <w:color w:val="202124"/>
                <w:shd w:val="clear" w:color="auto" w:fill="FFFFFF"/>
              </w:rPr>
              <w:t xml:space="preserve"> </w:t>
            </w:r>
            <w:proofErr w:type="spellStart"/>
            <w:r>
              <w:rPr>
                <w:rFonts w:ascii="Arial" w:hAnsi="Arial" w:cs="Arial"/>
                <w:color w:val="202124"/>
                <w:shd w:val="clear" w:color="auto" w:fill="FFFFFF"/>
              </w:rPr>
              <w:t>x</w:t>
            </w:r>
            <w:r>
              <w:rPr>
                <w:rFonts w:ascii="Arial" w:hAnsi="Arial" w:cs="Arial"/>
                <w:color w:val="202124"/>
                <w:shd w:val="clear" w:color="auto" w:fill="FFFFFF"/>
                <w:vertAlign w:val="subscript"/>
              </w:rPr>
              <w:t>k</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y</w:t>
            </w:r>
            <w:r>
              <w:rPr>
                <w:rFonts w:ascii="Arial" w:hAnsi="Arial" w:cs="Arial"/>
                <w:color w:val="202124"/>
                <w:shd w:val="clear" w:color="auto" w:fill="FFFFFF"/>
                <w:vertAlign w:val="subscript"/>
              </w:rPr>
              <w:t>k</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z</w:t>
            </w:r>
            <w:r>
              <w:rPr>
                <w:rFonts w:ascii="Arial" w:hAnsi="Arial" w:cs="Arial"/>
                <w:color w:val="202124"/>
                <w:shd w:val="clear" w:color="auto" w:fill="FFFFFF"/>
                <w:vertAlign w:val="subscript"/>
              </w:rPr>
              <w:t>k</w:t>
            </w:r>
            <w:proofErr w:type="spellEnd"/>
            <w:r>
              <w:rPr>
                <w:rFonts w:ascii="Arial" w:hAnsi="Arial" w:cs="Arial"/>
                <w:color w:val="202124"/>
                <w:shd w:val="clear" w:color="auto" w:fill="FFFFFF"/>
              </w:rPr>
              <w:t> of the point.</w:t>
            </w:r>
          </w:p>
        </w:tc>
        <w:tc>
          <w:tcPr>
            <w:tcW w:w="3117" w:type="dxa"/>
          </w:tcPr>
          <w:p w:rsidR="003C11E3" w:rsidRDefault="0085263C" w:rsidP="00532F0A">
            <w:r>
              <w:t>mm</w:t>
            </w:r>
            <w:r>
              <w:rPr>
                <w:vertAlign w:val="superscript"/>
              </w:rPr>
              <w:t>5</w:t>
            </w:r>
          </w:p>
        </w:tc>
      </w:tr>
      <w:tr w:rsidR="0085263C" w:rsidTr="00534ED9">
        <w:tc>
          <w:tcPr>
            <w:tcW w:w="3116" w:type="dxa"/>
          </w:tcPr>
          <w:p w:rsidR="0085263C" w:rsidRDefault="0085263C" w:rsidP="0085263C">
            <w:r>
              <w:t>Total orientation</w:t>
            </w:r>
            <w:r>
              <w:t xml:space="preserve"> (theta, phi)</w:t>
            </w:r>
          </w:p>
        </w:tc>
        <w:tc>
          <w:tcPr>
            <w:tcW w:w="3117" w:type="dxa"/>
          </w:tcPr>
          <w:p w:rsidR="0085263C" w:rsidRDefault="0085263C" w:rsidP="0085263C">
            <w:r>
              <w:t>The orientation of the major axis of the object, in degrees. Orientation is defined in the upper hemisphere only, with values from 0-180 degrees.</w:t>
            </w:r>
          </w:p>
        </w:tc>
        <w:tc>
          <w:tcPr>
            <w:tcW w:w="3117" w:type="dxa"/>
          </w:tcPr>
          <w:p w:rsidR="0085263C" w:rsidRDefault="0085263C" w:rsidP="0085263C">
            <w:r w:rsidRPr="00F25034">
              <w:t>°</w:t>
            </w:r>
          </w:p>
        </w:tc>
      </w:tr>
      <w:tr w:rsidR="0085263C" w:rsidTr="00534ED9">
        <w:tc>
          <w:tcPr>
            <w:tcW w:w="3116" w:type="dxa"/>
          </w:tcPr>
          <w:p w:rsidR="0085263C" w:rsidRDefault="0085263C" w:rsidP="0085263C">
            <w:r>
              <w:t>Structure model index</w:t>
            </w:r>
          </w:p>
        </w:tc>
        <w:tc>
          <w:tcPr>
            <w:tcW w:w="3117" w:type="dxa"/>
          </w:tcPr>
          <w:p w:rsidR="0085263C" w:rsidRDefault="0085263C" w:rsidP="0085263C">
            <w:r>
              <w:t xml:space="preserve">Structure model index indicates the relative prevalence of rods and plates in a 3D structure. SMI involves a measurement of surface convexity. An ideal plate, cylinder and sphere have SMI values of 0, 3 and 4 respectively. The calculation of SMI is based on dilation of the 3D voxel model, i.e., artificially adding one voxel thickness to all </w:t>
            </w:r>
            <w:proofErr w:type="spellStart"/>
            <w:r>
              <w:t>binarized</w:t>
            </w:r>
            <w:proofErr w:type="spellEnd"/>
            <w:r>
              <w:t xml:space="preserve"> object surfaces (Hildebrand et al. 1997b).</w:t>
            </w:r>
          </w:p>
        </w:tc>
        <w:tc>
          <w:tcPr>
            <w:tcW w:w="3117" w:type="dxa"/>
          </w:tcPr>
          <w:p w:rsidR="0085263C" w:rsidRDefault="0085263C" w:rsidP="0085263C"/>
        </w:tc>
      </w:tr>
      <w:tr w:rsidR="0085263C" w:rsidTr="00534ED9">
        <w:tc>
          <w:tcPr>
            <w:tcW w:w="3116" w:type="dxa"/>
          </w:tcPr>
          <w:p w:rsidR="0085263C" w:rsidRDefault="0085263C" w:rsidP="0085263C">
            <w:r>
              <w:t>Structure thickness</w:t>
            </w:r>
          </w:p>
        </w:tc>
        <w:tc>
          <w:tcPr>
            <w:tcW w:w="3117" w:type="dxa"/>
          </w:tcPr>
          <w:p w:rsidR="0085263C" w:rsidRDefault="0085263C" w:rsidP="0085263C">
            <w:r>
              <w:t xml:space="preserve">With 3D image analysis by micro-CT a true 3D thickness can be measured which is model-independent. Local thickness for a point in solid is defined by Hildebrand and </w:t>
            </w:r>
            <w:proofErr w:type="spellStart"/>
            <w:r>
              <w:t>Ruegsegger</w:t>
            </w:r>
            <w:proofErr w:type="spellEnd"/>
            <w:r>
              <w:t xml:space="preserve"> (1997a) as the </w:t>
            </w:r>
            <w:r>
              <w:lastRenderedPageBreak/>
              <w:t>diameter of the largest sphere which fulfils two conditions: the sphere encloses the point (but the point is not necessarily the center of the sphere); the sphere is entirely bounded within the solid surfaces.</w:t>
            </w:r>
          </w:p>
        </w:tc>
        <w:tc>
          <w:tcPr>
            <w:tcW w:w="3117" w:type="dxa"/>
          </w:tcPr>
          <w:p w:rsidR="0085263C" w:rsidRDefault="0085263C" w:rsidP="0085263C">
            <w:r>
              <w:lastRenderedPageBreak/>
              <w:t>mm</w:t>
            </w:r>
          </w:p>
        </w:tc>
      </w:tr>
      <w:tr w:rsidR="0085263C" w:rsidTr="00534ED9">
        <w:tc>
          <w:tcPr>
            <w:tcW w:w="3116" w:type="dxa"/>
          </w:tcPr>
          <w:p w:rsidR="0085263C" w:rsidRDefault="0085263C" w:rsidP="0085263C">
            <w:r>
              <w:t>Structure linear density</w:t>
            </w:r>
          </w:p>
        </w:tc>
        <w:tc>
          <w:tcPr>
            <w:tcW w:w="3117" w:type="dxa"/>
          </w:tcPr>
          <w:p w:rsidR="0085263C" w:rsidRDefault="0085263C" w:rsidP="0085263C">
            <w:r>
              <w:t>Structure linear density implies the number of traversals across a solid structure made per unit length on a random linear path through the VOI. This parameter is measured in CT-</w:t>
            </w:r>
            <w:proofErr w:type="spellStart"/>
            <w:r>
              <w:t>analyser</w:t>
            </w:r>
            <w:proofErr w:type="spellEnd"/>
            <w:r>
              <w:t xml:space="preserve"> in 3D by application of the equation for the parallel plate model (fractional volume/thickness), but using a direct 3D measurement of thickness. Note that the optional stereology analysis (not included in this report) includes measurements of thickness, separation and number/linear density based on the mean intercept length (MIL) analysis which represents an alternative basis for these architectural measurements.</w:t>
            </w:r>
          </w:p>
        </w:tc>
        <w:tc>
          <w:tcPr>
            <w:tcW w:w="3117" w:type="dxa"/>
          </w:tcPr>
          <w:p w:rsidR="0085263C" w:rsidRDefault="0085263C" w:rsidP="0085263C">
            <w:r>
              <w:t>1/mm</w:t>
            </w:r>
          </w:p>
        </w:tc>
      </w:tr>
      <w:tr w:rsidR="0085263C" w:rsidTr="00534ED9">
        <w:tc>
          <w:tcPr>
            <w:tcW w:w="3116" w:type="dxa"/>
          </w:tcPr>
          <w:p w:rsidR="0085263C" w:rsidRDefault="0085263C" w:rsidP="0085263C">
            <w:r>
              <w:t>Structure separation</w:t>
            </w:r>
          </w:p>
        </w:tc>
        <w:tc>
          <w:tcPr>
            <w:tcW w:w="3117" w:type="dxa"/>
          </w:tcPr>
          <w:p w:rsidR="0085263C" w:rsidRDefault="0085263C" w:rsidP="0085263C">
            <w:r>
              <w:t xml:space="preserve">Structure separation is essentially the thickness of the spaces as defined by </w:t>
            </w:r>
            <w:proofErr w:type="spellStart"/>
            <w:r>
              <w:t>binarization</w:t>
            </w:r>
            <w:proofErr w:type="spellEnd"/>
            <w:r>
              <w:t xml:space="preserve"> within the VOI. It is measured directly and model-independently in 3D by the same method used to measure structure thickness (see above), just applied to the space rather than the solid voxels.</w:t>
            </w:r>
          </w:p>
        </w:tc>
        <w:tc>
          <w:tcPr>
            <w:tcW w:w="3117" w:type="dxa"/>
          </w:tcPr>
          <w:p w:rsidR="0085263C" w:rsidRDefault="0085263C" w:rsidP="0085263C">
            <w:r>
              <w:t>mm</w:t>
            </w:r>
          </w:p>
        </w:tc>
      </w:tr>
      <w:tr w:rsidR="0085263C" w:rsidTr="00534ED9">
        <w:tc>
          <w:tcPr>
            <w:tcW w:w="3116" w:type="dxa"/>
          </w:tcPr>
          <w:p w:rsidR="0085263C" w:rsidRDefault="0085263C" w:rsidP="0085263C">
            <w:r>
              <w:t>Fractal dimension</w:t>
            </w:r>
          </w:p>
        </w:tc>
        <w:tc>
          <w:tcPr>
            <w:tcW w:w="3117" w:type="dxa"/>
          </w:tcPr>
          <w:p w:rsidR="0085263C" w:rsidRDefault="0085263C" w:rsidP="0085263C">
            <w:r>
              <w:t xml:space="preserve">Fractal dimension is calculated using the Kolmogorov or “box counting” method. It is calculated in both 2D and 3D in </w:t>
            </w:r>
            <w:proofErr w:type="spellStart"/>
            <w:r>
              <w:t>Skyscan</w:t>
            </w:r>
            <w:proofErr w:type="spellEnd"/>
            <w:r>
              <w:t xml:space="preserve"> CT-</w:t>
            </w:r>
            <w:proofErr w:type="spellStart"/>
            <w:r>
              <w:t>analyser</w:t>
            </w:r>
            <w:proofErr w:type="spellEnd"/>
            <w:r>
              <w:t xml:space="preserve">. For the 3D calculation of FD, the volume is divided into an array of equal cubes, and the number of cubes containing part of the object surface is counted. This is </w:t>
            </w:r>
            <w:r>
              <w:lastRenderedPageBreak/>
              <w:t>repeated over a range of cube sizes such as 2-100 pixels. The number of cubes containing surface is plotted against cube length in a log-log plot, and the fractal dimension is obtained from the slope of the log-log regression.</w:t>
            </w:r>
          </w:p>
        </w:tc>
        <w:tc>
          <w:tcPr>
            <w:tcW w:w="3117" w:type="dxa"/>
          </w:tcPr>
          <w:p w:rsidR="0085263C" w:rsidRDefault="0085263C" w:rsidP="0085263C"/>
        </w:tc>
      </w:tr>
      <w:tr w:rsidR="0085263C" w:rsidTr="00534ED9">
        <w:tc>
          <w:tcPr>
            <w:tcW w:w="3116" w:type="dxa"/>
          </w:tcPr>
          <w:p w:rsidR="0085263C" w:rsidRDefault="0085263C" w:rsidP="0085263C">
            <w:r>
              <w:t>Number of objects</w:t>
            </w:r>
          </w:p>
        </w:tc>
        <w:tc>
          <w:tcPr>
            <w:tcW w:w="3117" w:type="dxa"/>
          </w:tcPr>
          <w:p w:rsidR="0085263C" w:rsidRDefault="0085263C" w:rsidP="0085263C">
            <w:r>
              <w:t xml:space="preserve">The total number of discreet </w:t>
            </w:r>
            <w:proofErr w:type="spellStart"/>
            <w:r>
              <w:t>binarized</w:t>
            </w:r>
            <w:proofErr w:type="spellEnd"/>
            <w:r>
              <w:t xml:space="preserve"> objects within the VOI is reported. A discreet 3D object is a connected assemblage of solid (white) voxels fully surrounded on all sides in 3D by space (black) voxels.</w:t>
            </w:r>
          </w:p>
        </w:tc>
        <w:tc>
          <w:tcPr>
            <w:tcW w:w="3117" w:type="dxa"/>
          </w:tcPr>
          <w:p w:rsidR="0085263C" w:rsidRDefault="0085263C" w:rsidP="0085263C"/>
        </w:tc>
      </w:tr>
      <w:tr w:rsidR="0085263C" w:rsidTr="00534ED9">
        <w:tc>
          <w:tcPr>
            <w:tcW w:w="3116" w:type="dxa"/>
          </w:tcPr>
          <w:p w:rsidR="0085263C" w:rsidRDefault="0085263C" w:rsidP="0085263C">
            <w:r>
              <w:t>Number of closed pores</w:t>
            </w:r>
          </w:p>
        </w:tc>
        <w:tc>
          <w:tcPr>
            <w:tcW w:w="3117" w:type="dxa"/>
          </w:tcPr>
          <w:p w:rsidR="0085263C" w:rsidRDefault="0085263C" w:rsidP="0085263C">
            <w:r>
              <w:t xml:space="preserve">The total number of discreet </w:t>
            </w:r>
            <w:proofErr w:type="spellStart"/>
            <w:r>
              <w:t>binarized</w:t>
            </w:r>
            <w:proofErr w:type="spellEnd"/>
            <w:r>
              <w:t xml:space="preserve"> closed pores within the VOI is reported. A closed pore in 3D is a connected assemblage of space (black) voxels that is fully surrounded on all sides in 3D by solid (white) voxels.</w:t>
            </w:r>
          </w:p>
        </w:tc>
        <w:tc>
          <w:tcPr>
            <w:tcW w:w="3117" w:type="dxa"/>
          </w:tcPr>
          <w:p w:rsidR="0085263C" w:rsidRDefault="0085263C" w:rsidP="0085263C"/>
        </w:tc>
      </w:tr>
      <w:tr w:rsidR="0085263C" w:rsidTr="00534ED9">
        <w:tc>
          <w:tcPr>
            <w:tcW w:w="3116" w:type="dxa"/>
          </w:tcPr>
          <w:p w:rsidR="0085263C" w:rsidRDefault="0085263C" w:rsidP="0085263C">
            <w:r>
              <w:t>Volume of Closed Pores</w:t>
            </w:r>
          </w:p>
        </w:tc>
        <w:tc>
          <w:tcPr>
            <w:tcW w:w="3117" w:type="dxa"/>
          </w:tcPr>
          <w:p w:rsidR="0085263C" w:rsidRDefault="0085263C" w:rsidP="0085263C">
            <w:r>
              <w:t>The total volume of all closed pores within the VOI, as defined above (under “number of closed pores”).</w:t>
            </w:r>
          </w:p>
        </w:tc>
        <w:tc>
          <w:tcPr>
            <w:tcW w:w="3117" w:type="dxa"/>
          </w:tcPr>
          <w:p w:rsidR="0085263C" w:rsidRDefault="0085263C" w:rsidP="0085263C">
            <w:r>
              <w:t>mm</w:t>
            </w:r>
            <w:r w:rsidRPr="00457F2E">
              <w:rPr>
                <w:vertAlign w:val="superscript"/>
              </w:rPr>
              <w:t>3</w:t>
            </w:r>
          </w:p>
        </w:tc>
      </w:tr>
      <w:tr w:rsidR="0085263C" w:rsidTr="00534ED9">
        <w:tc>
          <w:tcPr>
            <w:tcW w:w="3116" w:type="dxa"/>
          </w:tcPr>
          <w:p w:rsidR="0085263C" w:rsidRDefault="0085263C" w:rsidP="0085263C">
            <w:r>
              <w:t>Surface of Closed Pores</w:t>
            </w:r>
          </w:p>
        </w:tc>
        <w:tc>
          <w:tcPr>
            <w:tcW w:w="3117" w:type="dxa"/>
          </w:tcPr>
          <w:p w:rsidR="0085263C" w:rsidRDefault="0085263C" w:rsidP="0085263C">
            <w:r>
              <w:t>The total surface area of all closed pores within the VOI, as defined above (under “number of closed pores”).</w:t>
            </w:r>
          </w:p>
        </w:tc>
        <w:tc>
          <w:tcPr>
            <w:tcW w:w="3117" w:type="dxa"/>
          </w:tcPr>
          <w:p w:rsidR="0085263C" w:rsidRDefault="0085263C" w:rsidP="0085263C">
            <w:r>
              <w:t>mm</w:t>
            </w:r>
            <w:r>
              <w:rPr>
                <w:vertAlign w:val="superscript"/>
              </w:rPr>
              <w:t>2</w:t>
            </w:r>
          </w:p>
        </w:tc>
      </w:tr>
      <w:tr w:rsidR="0085263C" w:rsidTr="00534ED9">
        <w:tc>
          <w:tcPr>
            <w:tcW w:w="3116" w:type="dxa"/>
          </w:tcPr>
          <w:p w:rsidR="0085263C" w:rsidRDefault="0085263C" w:rsidP="0085263C">
            <w:r>
              <w:t>Closed Porosity</w:t>
            </w:r>
          </w:p>
        </w:tc>
        <w:tc>
          <w:tcPr>
            <w:tcW w:w="3117" w:type="dxa"/>
          </w:tcPr>
          <w:p w:rsidR="0085263C" w:rsidRDefault="0085263C" w:rsidP="0085263C">
            <w:r>
              <w:t xml:space="preserve">Percent closed porosity is the volume of closed pores (as defined above) as a percent of the total of solid plus closed pore volume, within the VOI. </w:t>
            </w:r>
          </w:p>
        </w:tc>
        <w:tc>
          <w:tcPr>
            <w:tcW w:w="3117" w:type="dxa"/>
          </w:tcPr>
          <w:p w:rsidR="0085263C" w:rsidRDefault="0085263C" w:rsidP="0085263C">
            <w:r>
              <w:t>%</w:t>
            </w:r>
          </w:p>
        </w:tc>
      </w:tr>
      <w:tr w:rsidR="0085263C" w:rsidTr="00534ED9">
        <w:tc>
          <w:tcPr>
            <w:tcW w:w="3116" w:type="dxa"/>
          </w:tcPr>
          <w:p w:rsidR="0085263C" w:rsidRDefault="0085263C" w:rsidP="0085263C">
            <w:r>
              <w:t>Volume of Open Pore Space</w:t>
            </w:r>
          </w:p>
        </w:tc>
        <w:tc>
          <w:tcPr>
            <w:tcW w:w="3117" w:type="dxa"/>
          </w:tcPr>
          <w:p w:rsidR="0085263C" w:rsidRDefault="0085263C" w:rsidP="0085263C">
            <w:r>
              <w:t>The total volume of all open pores within the VOI, is reported. An open pore is defined as any space located within a solid object or between solid objects, which has any connection in 3D to the space outside the object or objects.</w:t>
            </w:r>
          </w:p>
        </w:tc>
        <w:tc>
          <w:tcPr>
            <w:tcW w:w="3117" w:type="dxa"/>
          </w:tcPr>
          <w:p w:rsidR="0085263C" w:rsidRDefault="0085263C" w:rsidP="0085263C">
            <w:r>
              <w:t>mm</w:t>
            </w:r>
            <w:r w:rsidRPr="00457F2E">
              <w:rPr>
                <w:vertAlign w:val="superscript"/>
              </w:rPr>
              <w:t>3</w:t>
            </w:r>
          </w:p>
        </w:tc>
      </w:tr>
      <w:tr w:rsidR="0085263C" w:rsidTr="00534ED9">
        <w:tc>
          <w:tcPr>
            <w:tcW w:w="3116" w:type="dxa"/>
          </w:tcPr>
          <w:p w:rsidR="0085263C" w:rsidRDefault="0085263C" w:rsidP="0085263C">
            <w:r>
              <w:t xml:space="preserve">Open Porosity </w:t>
            </w:r>
          </w:p>
        </w:tc>
        <w:tc>
          <w:tcPr>
            <w:tcW w:w="3117" w:type="dxa"/>
          </w:tcPr>
          <w:p w:rsidR="0085263C" w:rsidRDefault="0085263C" w:rsidP="0085263C">
            <w:r>
              <w:t xml:space="preserve">Percent open porosity is the volume of open pores (as </w:t>
            </w:r>
            <w:r>
              <w:lastRenderedPageBreak/>
              <w:t>defined above) as a percent of the total VOI volume.</w:t>
            </w:r>
          </w:p>
        </w:tc>
        <w:tc>
          <w:tcPr>
            <w:tcW w:w="3117" w:type="dxa"/>
          </w:tcPr>
          <w:p w:rsidR="0085263C" w:rsidRDefault="0085263C" w:rsidP="0085263C">
            <w:r>
              <w:lastRenderedPageBreak/>
              <w:t>%</w:t>
            </w:r>
          </w:p>
        </w:tc>
      </w:tr>
      <w:tr w:rsidR="0085263C" w:rsidTr="00534ED9">
        <w:tc>
          <w:tcPr>
            <w:tcW w:w="3116" w:type="dxa"/>
          </w:tcPr>
          <w:p w:rsidR="0085263C" w:rsidRDefault="0085263C" w:rsidP="0085263C">
            <w:r>
              <w:t>Total Volume of Pore Space</w:t>
            </w:r>
          </w:p>
        </w:tc>
        <w:tc>
          <w:tcPr>
            <w:tcW w:w="3117" w:type="dxa"/>
          </w:tcPr>
          <w:p w:rsidR="0085263C" w:rsidRDefault="0085263C" w:rsidP="0085263C">
            <w:r>
              <w:t>The total volume of all open and closed pores within the VOI.</w:t>
            </w:r>
          </w:p>
        </w:tc>
        <w:tc>
          <w:tcPr>
            <w:tcW w:w="3117" w:type="dxa"/>
          </w:tcPr>
          <w:p w:rsidR="0085263C" w:rsidRDefault="0085263C" w:rsidP="0085263C">
            <w:r>
              <w:t>mm</w:t>
            </w:r>
            <w:r w:rsidRPr="00457F2E">
              <w:rPr>
                <w:vertAlign w:val="superscript"/>
              </w:rPr>
              <w:t>3</w:t>
            </w:r>
          </w:p>
        </w:tc>
      </w:tr>
      <w:tr w:rsidR="0085263C" w:rsidTr="00534ED9">
        <w:tc>
          <w:tcPr>
            <w:tcW w:w="3116" w:type="dxa"/>
          </w:tcPr>
          <w:p w:rsidR="0085263C" w:rsidRDefault="0085263C" w:rsidP="0085263C">
            <w:r>
              <w:t>Total Porosity</w:t>
            </w:r>
          </w:p>
        </w:tc>
        <w:tc>
          <w:tcPr>
            <w:tcW w:w="3117" w:type="dxa"/>
          </w:tcPr>
          <w:p w:rsidR="0085263C" w:rsidRDefault="0085263C" w:rsidP="0085263C">
            <w:r>
              <w:t>Total porosity is the volume of all open plus closed pores (as defined above) as a percent of the total VOI volume.</w:t>
            </w:r>
          </w:p>
        </w:tc>
        <w:tc>
          <w:tcPr>
            <w:tcW w:w="3117" w:type="dxa"/>
          </w:tcPr>
          <w:p w:rsidR="0085263C" w:rsidRDefault="0085263C" w:rsidP="0085263C">
            <w:r>
              <w:t>%</w:t>
            </w:r>
          </w:p>
        </w:tc>
      </w:tr>
      <w:tr w:rsidR="0085263C" w:rsidTr="00534ED9">
        <w:tc>
          <w:tcPr>
            <w:tcW w:w="3116" w:type="dxa"/>
          </w:tcPr>
          <w:p w:rsidR="0085263C" w:rsidRDefault="0085263C" w:rsidP="0085263C">
            <w:r>
              <w:t>Euler number</w:t>
            </w:r>
          </w:p>
        </w:tc>
        <w:tc>
          <w:tcPr>
            <w:tcW w:w="3117" w:type="dxa"/>
          </w:tcPr>
          <w:p w:rsidR="0085263C" w:rsidRDefault="0085263C" w:rsidP="0085263C">
            <w:r>
              <w:t xml:space="preserve">The calculation of Euler number in 3D uses the </w:t>
            </w:r>
            <w:proofErr w:type="spellStart"/>
            <w:r>
              <w:t>Conneulor</w:t>
            </w:r>
            <w:proofErr w:type="spellEnd"/>
            <w:r>
              <w:t xml:space="preserve"> method from Aarhus University, Denmark (Dr. Anders </w:t>
            </w:r>
            <w:proofErr w:type="spellStart"/>
            <w:r>
              <w:t>Odgaard</w:t>
            </w:r>
            <w:proofErr w:type="spellEnd"/>
            <w:r>
              <w:t>; see Gunderson et. al. 1993). The Euler number is an indicator of connectedness of a 3D complex structure. The Euler number is characteristic of a three-dimensional structure which is topologically invariant (it is unchanged by inflation or compression or distortion of the structure). It measures the degree to which parts of the object are multiply connected (</w:t>
            </w:r>
            <w:proofErr w:type="spellStart"/>
            <w:r>
              <w:t>Odgaard</w:t>
            </w:r>
            <w:proofErr w:type="spellEnd"/>
            <w:r>
              <w:t xml:space="preserve"> et al. 1993). It is a measure of how many connections in a structure can be severed before the structure falls into two separate pieces. The components of the Euler number are the three </w:t>
            </w:r>
            <w:proofErr w:type="spellStart"/>
            <w:r>
              <w:t>Betti</w:t>
            </w:r>
            <w:proofErr w:type="spellEnd"/>
            <w:r>
              <w:t xml:space="preserve"> numbers: </w:t>
            </w:r>
            <w:r>
              <w:sym w:font="Symbol" w:char="F062"/>
            </w:r>
            <w:r>
              <w:t xml:space="preserve">0 is the number of objects, </w:t>
            </w:r>
            <w:r>
              <w:sym w:font="Symbol" w:char="F062"/>
            </w:r>
            <w:r>
              <w:t xml:space="preserve">1 the connectivity, and </w:t>
            </w:r>
            <w:r>
              <w:sym w:font="Symbol" w:char="F062"/>
            </w:r>
            <w:r>
              <w:t xml:space="preserve">2 the number of enclosed cavities. The Euler-Poincare formula for a 3D object X is given: </w:t>
            </w:r>
            <w:r>
              <w:sym w:font="Symbol" w:char="F063"/>
            </w:r>
            <w:r>
              <w:t xml:space="preserve">(X) </w:t>
            </w:r>
            <w:r>
              <w:sym w:font="Symbol" w:char="F03D"/>
            </w:r>
            <w:r>
              <w:t xml:space="preserve"> </w:t>
            </w:r>
            <w:r>
              <w:sym w:font="Symbol" w:char="F062"/>
            </w:r>
            <w:r>
              <w:t xml:space="preserve">0 </w:t>
            </w:r>
            <w:r>
              <w:sym w:font="Symbol" w:char="F02D"/>
            </w:r>
            <w:r>
              <w:t xml:space="preserve"> </w:t>
            </w:r>
            <w:r>
              <w:sym w:font="Symbol" w:char="F062"/>
            </w:r>
            <w:r>
              <w:t xml:space="preserve">1 + </w:t>
            </w:r>
            <w:r>
              <w:sym w:font="Symbol" w:char="F062"/>
            </w:r>
            <w:r>
              <w:t>2. Euler analysis provides a measure of connectivity density, indicating the number of redundant connections between structures per unit volume.</w:t>
            </w:r>
          </w:p>
        </w:tc>
        <w:tc>
          <w:tcPr>
            <w:tcW w:w="3117" w:type="dxa"/>
          </w:tcPr>
          <w:p w:rsidR="0085263C" w:rsidRDefault="0085263C" w:rsidP="0085263C"/>
        </w:tc>
      </w:tr>
      <w:tr w:rsidR="00233B14" w:rsidTr="00534ED9">
        <w:tc>
          <w:tcPr>
            <w:tcW w:w="3116" w:type="dxa"/>
          </w:tcPr>
          <w:p w:rsidR="00233B14" w:rsidRDefault="00233B14" w:rsidP="0085263C">
            <w:r>
              <w:t>Connectivity</w:t>
            </w:r>
          </w:p>
        </w:tc>
        <w:tc>
          <w:tcPr>
            <w:tcW w:w="3117" w:type="dxa"/>
          </w:tcPr>
          <w:p w:rsidR="00233B14" w:rsidRDefault="00233B14" w:rsidP="00233B14">
            <w:r>
              <w:t xml:space="preserve">Calculated using the </w:t>
            </w:r>
            <w:proofErr w:type="spellStart"/>
            <w:r>
              <w:t>Conneulor</w:t>
            </w:r>
            <w:proofErr w:type="spellEnd"/>
            <w:r>
              <w:t xml:space="preserve"> method of </w:t>
            </w:r>
            <w:r>
              <w:t>Gunderson HJG</w:t>
            </w:r>
            <w:r>
              <w:t xml:space="preserve"> et al. (1993).</w:t>
            </w:r>
          </w:p>
        </w:tc>
        <w:tc>
          <w:tcPr>
            <w:tcW w:w="3117" w:type="dxa"/>
          </w:tcPr>
          <w:p w:rsidR="00233B14" w:rsidRDefault="00233B14" w:rsidP="0085263C"/>
        </w:tc>
      </w:tr>
      <w:tr w:rsidR="00233B14" w:rsidTr="00534ED9">
        <w:tc>
          <w:tcPr>
            <w:tcW w:w="3116" w:type="dxa"/>
          </w:tcPr>
          <w:p w:rsidR="00233B14" w:rsidRDefault="00233B14" w:rsidP="0085263C">
            <w:r>
              <w:t>Connectivity density</w:t>
            </w:r>
          </w:p>
        </w:tc>
        <w:tc>
          <w:tcPr>
            <w:tcW w:w="3117" w:type="dxa"/>
          </w:tcPr>
          <w:p w:rsidR="00233B14" w:rsidRDefault="00233B14" w:rsidP="00233B14">
            <w:r>
              <w:t>The connectivity density indicates</w:t>
            </w:r>
            <w:r>
              <w:t xml:space="preserve"> the number of </w:t>
            </w:r>
            <w:r>
              <w:lastRenderedPageBreak/>
              <w:t xml:space="preserve">redundant connections between </w:t>
            </w:r>
            <w:r>
              <w:t>solid</w:t>
            </w:r>
            <w:r>
              <w:t xml:space="preserve"> structures per unit volume.</w:t>
            </w:r>
          </w:p>
        </w:tc>
        <w:tc>
          <w:tcPr>
            <w:tcW w:w="3117" w:type="dxa"/>
          </w:tcPr>
          <w:p w:rsidR="00233B14" w:rsidRDefault="00233B14" w:rsidP="00233B14">
            <w:pPr>
              <w:rPr>
                <w:rFonts w:ascii="Calibri" w:hAnsi="Calibri" w:cs="Calibri"/>
                <w:color w:val="000000"/>
              </w:rPr>
            </w:pPr>
            <w:r>
              <w:rPr>
                <w:rFonts w:ascii="Calibri" w:hAnsi="Calibri" w:cs="Calibri"/>
                <w:color w:val="000000"/>
              </w:rPr>
              <w:lastRenderedPageBreak/>
              <w:t>1/mm</w:t>
            </w:r>
            <w:r w:rsidRPr="00233B14">
              <w:rPr>
                <w:rFonts w:ascii="Calibri" w:hAnsi="Calibri" w:cs="Calibri"/>
                <w:color w:val="000000"/>
                <w:vertAlign w:val="superscript"/>
              </w:rPr>
              <w:t>3</w:t>
            </w:r>
          </w:p>
          <w:p w:rsidR="00233B14" w:rsidRDefault="00233B14" w:rsidP="0085263C"/>
        </w:tc>
      </w:tr>
      <w:tr w:rsidR="0085263C" w:rsidTr="00534ED9">
        <w:tc>
          <w:tcPr>
            <w:tcW w:w="3116" w:type="dxa"/>
          </w:tcPr>
          <w:p w:rsidR="0085263C" w:rsidRDefault="0085263C" w:rsidP="0085263C">
            <w:r>
              <w:t>Degree of anisotropy (DA)</w:t>
            </w:r>
          </w:p>
        </w:tc>
        <w:tc>
          <w:tcPr>
            <w:tcW w:w="3117" w:type="dxa"/>
          </w:tcPr>
          <w:p w:rsidR="0085263C" w:rsidRDefault="0085263C" w:rsidP="0085263C">
            <w:r>
              <w:t>Isotropy is a measure of 3D symmetry or the presence or absence of preferential alignment of structures along a particular directional axis. Apart from percent volume, DA and the general stereology parameters of trabecular bone are probably the most important determinants of mechanical strength (</w:t>
            </w:r>
            <w:proofErr w:type="spellStart"/>
            <w:r>
              <w:t>Odgaard</w:t>
            </w:r>
            <w:proofErr w:type="spellEnd"/>
            <w:r>
              <w:t xml:space="preserve"> 1997). Mean intercept length (MIL) and Eigen analysis are used to calculate DA.</w:t>
            </w:r>
          </w:p>
          <w:p w:rsidR="0085263C" w:rsidRDefault="0085263C" w:rsidP="0085263C"/>
          <w:p w:rsidR="0085263C" w:rsidRDefault="0085263C" w:rsidP="0085263C">
            <w:r>
              <w:t xml:space="preserve">Consider a region or volume containing two phases (solid and space), both having complex architecture. If the volume is isotropic, then a line passing through the volume at any 3D orientation will make a similar number of intercepts through the solid phase. Mean intercept length (MIL) analysis measures isotropy (it is usual to talk of measurement of the negative quantity anisotropy). Mean intercept length is found by sending a line through a 3D image volume containing </w:t>
            </w:r>
            <w:proofErr w:type="spellStart"/>
            <w:r>
              <w:t>binarized</w:t>
            </w:r>
            <w:proofErr w:type="spellEnd"/>
            <w:r>
              <w:t xml:space="preserve"> objects, and dividing the length of the test line through the analyzed volume by the number of times that the line passes through or intercepts part of the solid phase. Note that in this MIL calculation the intercept length may correlate with object thickness in a given orientation but does not measure it directly. Therefore it will give an accurate result if analyzing a volume containing a sufficiently </w:t>
            </w:r>
            <w:r>
              <w:lastRenderedPageBreak/>
              <w:t xml:space="preserve">large number of objects, but is not suitable for analysis of single or small numbers of objects. For the MIL analysis, a grid of test lines is sent through the volume over a large number of 3D angles. The MIL for each angle is calculated as the average for all the lines of the grid. </w:t>
            </w:r>
          </w:p>
        </w:tc>
        <w:tc>
          <w:tcPr>
            <w:tcW w:w="3117" w:type="dxa"/>
          </w:tcPr>
          <w:p w:rsidR="0085263C" w:rsidRDefault="0085263C" w:rsidP="0085263C">
            <w:r>
              <w:lastRenderedPageBreak/>
              <w:t>Degree of anisotropy (DA)</w:t>
            </w:r>
          </w:p>
        </w:tc>
      </w:tr>
      <w:tr w:rsidR="0085263C" w:rsidTr="00534ED9">
        <w:tc>
          <w:tcPr>
            <w:tcW w:w="3116" w:type="dxa"/>
          </w:tcPr>
          <w:p w:rsidR="0085263C" w:rsidRDefault="0085263C" w:rsidP="0085263C">
            <w:r>
              <w:lastRenderedPageBreak/>
              <w:t>Eigenvalue (1, 2, 3)</w:t>
            </w:r>
          </w:p>
        </w:tc>
        <w:tc>
          <w:tcPr>
            <w:tcW w:w="3117" w:type="dxa"/>
          </w:tcPr>
          <w:p w:rsidR="0085263C" w:rsidRDefault="0085263C" w:rsidP="0085263C">
            <w:r>
              <w:t>T</w:t>
            </w:r>
            <w:r>
              <w:t>he three eigenvalues are each an index of the relative MIL values in each of the three axes described by the eigenvectors.</w:t>
            </w:r>
            <w:r>
              <w:t xml:space="preserve"> </w:t>
            </w:r>
            <w:r>
              <w:t>These three directions are also expressed as the eigenvectors, and are orthogonal to each other.</w:t>
            </w:r>
          </w:p>
        </w:tc>
        <w:tc>
          <w:tcPr>
            <w:tcW w:w="3117" w:type="dxa"/>
          </w:tcPr>
          <w:p w:rsidR="0085263C" w:rsidRDefault="0085263C" w:rsidP="0085263C"/>
        </w:tc>
      </w:tr>
      <w:tr w:rsidR="00233B14" w:rsidTr="00534ED9">
        <w:tc>
          <w:tcPr>
            <w:tcW w:w="3116" w:type="dxa"/>
          </w:tcPr>
          <w:p w:rsidR="00233B14" w:rsidRDefault="00233B14" w:rsidP="00233B14">
            <w:pPr>
              <w:rPr>
                <w:rFonts w:ascii="Calibri" w:hAnsi="Calibri" w:cs="Calibri"/>
                <w:color w:val="000000"/>
              </w:rPr>
            </w:pPr>
            <w:r>
              <w:rPr>
                <w:rFonts w:ascii="Calibri" w:hAnsi="Calibri" w:cs="Calibri"/>
                <w:color w:val="000000"/>
              </w:rPr>
              <w:t>Structure thickness distribution</w:t>
            </w:r>
          </w:p>
          <w:p w:rsidR="00233B14" w:rsidRDefault="00233B14" w:rsidP="0085263C"/>
        </w:tc>
        <w:tc>
          <w:tcPr>
            <w:tcW w:w="3117" w:type="dxa"/>
          </w:tcPr>
          <w:p w:rsidR="00233B14" w:rsidRDefault="00233B14" w:rsidP="0085263C">
            <w:r>
              <w:t>The structure thickness distribution is a list of the distribution of structure thickness values list of ranges, the midrange of the bins, the volume represented by the bin, and the percent volume within the range of structure thickness values.</w:t>
            </w:r>
          </w:p>
        </w:tc>
        <w:tc>
          <w:tcPr>
            <w:tcW w:w="3117" w:type="dxa"/>
          </w:tcPr>
          <w:p w:rsidR="00233B14" w:rsidRDefault="00233B14" w:rsidP="0085263C">
            <w:r>
              <w:t>mm</w:t>
            </w:r>
          </w:p>
        </w:tc>
      </w:tr>
      <w:tr w:rsidR="00233B14" w:rsidTr="00534ED9">
        <w:tc>
          <w:tcPr>
            <w:tcW w:w="3116" w:type="dxa"/>
          </w:tcPr>
          <w:p w:rsidR="00233B14" w:rsidRPr="00233B14" w:rsidRDefault="00233B14" w:rsidP="0085263C">
            <w:pPr>
              <w:rPr>
                <w:rFonts w:ascii="Calibri" w:hAnsi="Calibri" w:cs="Calibri"/>
                <w:color w:val="000000"/>
              </w:rPr>
            </w:pPr>
            <w:r>
              <w:rPr>
                <w:rFonts w:ascii="Calibri" w:hAnsi="Calibri" w:cs="Calibri"/>
                <w:color w:val="000000"/>
              </w:rPr>
              <w:t>Standard deviation of structure thickness</w:t>
            </w:r>
          </w:p>
        </w:tc>
        <w:tc>
          <w:tcPr>
            <w:tcW w:w="3117" w:type="dxa"/>
          </w:tcPr>
          <w:p w:rsidR="00233B14" w:rsidRPr="00233B14" w:rsidRDefault="00233B14" w:rsidP="0085263C">
            <w:pPr>
              <w:rPr>
                <w:rFonts w:ascii="Calibri" w:hAnsi="Calibri" w:cs="Calibri"/>
                <w:color w:val="000000"/>
              </w:rPr>
            </w:pPr>
            <w:r>
              <w:rPr>
                <w:rFonts w:ascii="Calibri" w:hAnsi="Calibri" w:cs="Calibri"/>
                <w:color w:val="000000"/>
              </w:rPr>
              <w:t>Standard deviation of structure thickness</w:t>
            </w:r>
          </w:p>
        </w:tc>
        <w:tc>
          <w:tcPr>
            <w:tcW w:w="3117" w:type="dxa"/>
          </w:tcPr>
          <w:p w:rsidR="00233B14" w:rsidRDefault="00233B14" w:rsidP="0085263C">
            <w:r>
              <w:t>mm</w:t>
            </w:r>
          </w:p>
        </w:tc>
      </w:tr>
      <w:tr w:rsidR="00233B14" w:rsidTr="00534ED9">
        <w:tc>
          <w:tcPr>
            <w:tcW w:w="3116" w:type="dxa"/>
          </w:tcPr>
          <w:p w:rsidR="00233B14" w:rsidRDefault="00233B14" w:rsidP="0085263C">
            <w:pPr>
              <w:rPr>
                <w:rFonts w:ascii="Calibri" w:hAnsi="Calibri" w:cs="Calibri"/>
                <w:color w:val="000000"/>
              </w:rPr>
            </w:pPr>
            <w:r>
              <w:rPr>
                <w:rFonts w:ascii="Calibri" w:hAnsi="Calibri" w:cs="Calibri"/>
                <w:color w:val="000000"/>
              </w:rPr>
              <w:t>Structure separation distribution</w:t>
            </w:r>
          </w:p>
        </w:tc>
        <w:tc>
          <w:tcPr>
            <w:tcW w:w="3117" w:type="dxa"/>
          </w:tcPr>
          <w:p w:rsidR="00233B14" w:rsidRDefault="00233B14" w:rsidP="00233B14">
            <w:pPr>
              <w:rPr>
                <w:rFonts w:ascii="Calibri" w:hAnsi="Calibri" w:cs="Calibri"/>
                <w:color w:val="000000"/>
              </w:rPr>
            </w:pPr>
            <w:r>
              <w:t xml:space="preserve">The structure </w:t>
            </w:r>
            <w:r>
              <w:t xml:space="preserve">separation </w:t>
            </w:r>
            <w:r>
              <w:t xml:space="preserve">distribution is a list of the distribution of structure </w:t>
            </w:r>
            <w:r>
              <w:t>separation</w:t>
            </w:r>
            <w:r>
              <w:t xml:space="preserve"> values list of ranges, the midrange of the bins, the volume represented by the bin, and the percent volume within the range of structure </w:t>
            </w:r>
            <w:r>
              <w:t>separation</w:t>
            </w:r>
            <w:r>
              <w:t xml:space="preserve"> values.</w:t>
            </w:r>
          </w:p>
        </w:tc>
        <w:tc>
          <w:tcPr>
            <w:tcW w:w="3117" w:type="dxa"/>
          </w:tcPr>
          <w:p w:rsidR="00233B14" w:rsidRDefault="00233B14" w:rsidP="0085263C">
            <w:r>
              <w:t>mm</w:t>
            </w:r>
          </w:p>
        </w:tc>
      </w:tr>
      <w:tr w:rsidR="00233B14" w:rsidTr="00534ED9">
        <w:tc>
          <w:tcPr>
            <w:tcW w:w="3116" w:type="dxa"/>
          </w:tcPr>
          <w:p w:rsidR="00233B14" w:rsidRDefault="00233B14" w:rsidP="00233B14">
            <w:pPr>
              <w:rPr>
                <w:rFonts w:ascii="Calibri" w:hAnsi="Calibri" w:cs="Calibri"/>
                <w:color w:val="000000"/>
              </w:rPr>
            </w:pPr>
            <w:r>
              <w:rPr>
                <w:rFonts w:ascii="Calibri" w:hAnsi="Calibri" w:cs="Calibri"/>
                <w:color w:val="000000"/>
              </w:rPr>
              <w:t xml:space="preserve">Standard deviation of structure </w:t>
            </w:r>
            <w:r>
              <w:rPr>
                <w:rFonts w:ascii="Calibri" w:hAnsi="Calibri" w:cs="Calibri"/>
                <w:color w:val="000000"/>
              </w:rPr>
              <w:t>separation</w:t>
            </w:r>
          </w:p>
        </w:tc>
        <w:tc>
          <w:tcPr>
            <w:tcW w:w="3117" w:type="dxa"/>
          </w:tcPr>
          <w:p w:rsidR="00233B14" w:rsidRDefault="00233B14" w:rsidP="00233B14">
            <w:r>
              <w:rPr>
                <w:rFonts w:ascii="Calibri" w:hAnsi="Calibri" w:cs="Calibri"/>
                <w:color w:val="000000"/>
              </w:rPr>
              <w:t xml:space="preserve">Standard deviation of structure </w:t>
            </w:r>
            <w:r>
              <w:rPr>
                <w:rFonts w:ascii="Calibri" w:hAnsi="Calibri" w:cs="Calibri"/>
                <w:color w:val="000000"/>
              </w:rPr>
              <w:t>separation</w:t>
            </w:r>
          </w:p>
        </w:tc>
        <w:tc>
          <w:tcPr>
            <w:tcW w:w="3117" w:type="dxa"/>
          </w:tcPr>
          <w:p w:rsidR="00233B14" w:rsidRDefault="00233B14" w:rsidP="0085263C">
            <w:r>
              <w:t>mm</w:t>
            </w:r>
          </w:p>
        </w:tc>
      </w:tr>
    </w:tbl>
    <w:p w:rsidR="00534ED9" w:rsidRDefault="00534ED9" w:rsidP="00532F0A"/>
    <w:p w:rsidR="00D538F5" w:rsidRDefault="00D538F5" w:rsidP="00532F0A">
      <w:r>
        <w:t>Table 3. Stereology results</w:t>
      </w:r>
    </w:p>
    <w:p w:rsidR="00D538F5" w:rsidRDefault="00D538F5" w:rsidP="00532F0A">
      <w:bookmarkStart w:id="0" w:name="_GoBack"/>
      <w:bookmarkEnd w:id="0"/>
    </w:p>
    <w:p w:rsidR="00D538F5" w:rsidRDefault="00D538F5" w:rsidP="00532F0A"/>
    <w:p w:rsidR="007E39E1" w:rsidRDefault="007E39E1" w:rsidP="00532F0A"/>
    <w:p w:rsidR="007E4943" w:rsidRDefault="007E4943"/>
    <w:p w:rsidR="007E4943" w:rsidRDefault="007E4943"/>
    <w:sectPr w:rsidR="007E4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E7137F"/>
    <w:multiLevelType w:val="multilevel"/>
    <w:tmpl w:val="C8249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43"/>
    <w:rsid w:val="00001E82"/>
    <w:rsid w:val="000B7827"/>
    <w:rsid w:val="000F49D1"/>
    <w:rsid w:val="0019377F"/>
    <w:rsid w:val="001B5419"/>
    <w:rsid w:val="001B5B4B"/>
    <w:rsid w:val="001C585B"/>
    <w:rsid w:val="001E1048"/>
    <w:rsid w:val="00233B14"/>
    <w:rsid w:val="00272807"/>
    <w:rsid w:val="00294A79"/>
    <w:rsid w:val="0036541C"/>
    <w:rsid w:val="0037327B"/>
    <w:rsid w:val="003C11E3"/>
    <w:rsid w:val="00426060"/>
    <w:rsid w:val="00444304"/>
    <w:rsid w:val="00457F2E"/>
    <w:rsid w:val="00487984"/>
    <w:rsid w:val="004C6BDB"/>
    <w:rsid w:val="00522EF9"/>
    <w:rsid w:val="00532F0A"/>
    <w:rsid w:val="00534ED9"/>
    <w:rsid w:val="005A5939"/>
    <w:rsid w:val="005D4CC7"/>
    <w:rsid w:val="00621D57"/>
    <w:rsid w:val="006748FE"/>
    <w:rsid w:val="0077403E"/>
    <w:rsid w:val="007B3A3C"/>
    <w:rsid w:val="007E39E1"/>
    <w:rsid w:val="007E4943"/>
    <w:rsid w:val="0085263C"/>
    <w:rsid w:val="008F2C00"/>
    <w:rsid w:val="00971E58"/>
    <w:rsid w:val="009A1F3A"/>
    <w:rsid w:val="00A2478F"/>
    <w:rsid w:val="00B16592"/>
    <w:rsid w:val="00BD0863"/>
    <w:rsid w:val="00C954C1"/>
    <w:rsid w:val="00D538F5"/>
    <w:rsid w:val="00D95E97"/>
    <w:rsid w:val="00DA3CC8"/>
    <w:rsid w:val="00DB71FC"/>
    <w:rsid w:val="00E57502"/>
    <w:rsid w:val="00E93D43"/>
    <w:rsid w:val="00EB1449"/>
    <w:rsid w:val="00F25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262D"/>
  <w15:chartTrackingRefBased/>
  <w15:docId w15:val="{AF43F1D6-16FE-4591-AAF1-32E903D2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43"/>
    <w:pPr>
      <w:ind w:left="720"/>
      <w:contextualSpacing/>
    </w:pPr>
  </w:style>
  <w:style w:type="table" w:styleId="TableGrid">
    <w:name w:val="Table Grid"/>
    <w:basedOn w:val="TableNormal"/>
    <w:uiPriority w:val="39"/>
    <w:rsid w:val="007E3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58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85B"/>
    <w:rPr>
      <w:rFonts w:ascii="Segoe UI" w:hAnsi="Segoe UI" w:cs="Segoe UI"/>
      <w:sz w:val="18"/>
      <w:szCs w:val="18"/>
    </w:rPr>
  </w:style>
  <w:style w:type="character" w:styleId="Hyperlink">
    <w:name w:val="Hyperlink"/>
    <w:basedOn w:val="DefaultParagraphFont"/>
    <w:uiPriority w:val="99"/>
    <w:semiHidden/>
    <w:unhideWhenUsed/>
    <w:rsid w:val="003C11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50362">
      <w:bodyDiv w:val="1"/>
      <w:marLeft w:val="0"/>
      <w:marRight w:val="0"/>
      <w:marTop w:val="0"/>
      <w:marBottom w:val="0"/>
      <w:divBdr>
        <w:top w:val="none" w:sz="0" w:space="0" w:color="auto"/>
        <w:left w:val="none" w:sz="0" w:space="0" w:color="auto"/>
        <w:bottom w:val="none" w:sz="0" w:space="0" w:color="auto"/>
        <w:right w:val="none" w:sz="0" w:space="0" w:color="auto"/>
      </w:divBdr>
    </w:div>
    <w:div w:id="149178250">
      <w:bodyDiv w:val="1"/>
      <w:marLeft w:val="0"/>
      <w:marRight w:val="0"/>
      <w:marTop w:val="0"/>
      <w:marBottom w:val="0"/>
      <w:divBdr>
        <w:top w:val="none" w:sz="0" w:space="0" w:color="auto"/>
        <w:left w:val="none" w:sz="0" w:space="0" w:color="auto"/>
        <w:bottom w:val="none" w:sz="0" w:space="0" w:color="auto"/>
        <w:right w:val="none" w:sz="0" w:space="0" w:color="auto"/>
      </w:divBdr>
    </w:div>
    <w:div w:id="217279131">
      <w:bodyDiv w:val="1"/>
      <w:marLeft w:val="0"/>
      <w:marRight w:val="0"/>
      <w:marTop w:val="0"/>
      <w:marBottom w:val="0"/>
      <w:divBdr>
        <w:top w:val="none" w:sz="0" w:space="0" w:color="auto"/>
        <w:left w:val="none" w:sz="0" w:space="0" w:color="auto"/>
        <w:bottom w:val="none" w:sz="0" w:space="0" w:color="auto"/>
        <w:right w:val="none" w:sz="0" w:space="0" w:color="auto"/>
      </w:divBdr>
    </w:div>
    <w:div w:id="295718719">
      <w:bodyDiv w:val="1"/>
      <w:marLeft w:val="0"/>
      <w:marRight w:val="0"/>
      <w:marTop w:val="0"/>
      <w:marBottom w:val="0"/>
      <w:divBdr>
        <w:top w:val="none" w:sz="0" w:space="0" w:color="auto"/>
        <w:left w:val="none" w:sz="0" w:space="0" w:color="auto"/>
        <w:bottom w:val="none" w:sz="0" w:space="0" w:color="auto"/>
        <w:right w:val="none" w:sz="0" w:space="0" w:color="auto"/>
      </w:divBdr>
    </w:div>
    <w:div w:id="575823399">
      <w:bodyDiv w:val="1"/>
      <w:marLeft w:val="0"/>
      <w:marRight w:val="0"/>
      <w:marTop w:val="0"/>
      <w:marBottom w:val="0"/>
      <w:divBdr>
        <w:top w:val="none" w:sz="0" w:space="0" w:color="auto"/>
        <w:left w:val="none" w:sz="0" w:space="0" w:color="auto"/>
        <w:bottom w:val="none" w:sz="0" w:space="0" w:color="auto"/>
        <w:right w:val="none" w:sz="0" w:space="0" w:color="auto"/>
      </w:divBdr>
    </w:div>
    <w:div w:id="622082905">
      <w:bodyDiv w:val="1"/>
      <w:marLeft w:val="0"/>
      <w:marRight w:val="0"/>
      <w:marTop w:val="0"/>
      <w:marBottom w:val="0"/>
      <w:divBdr>
        <w:top w:val="none" w:sz="0" w:space="0" w:color="auto"/>
        <w:left w:val="none" w:sz="0" w:space="0" w:color="auto"/>
        <w:bottom w:val="none" w:sz="0" w:space="0" w:color="auto"/>
        <w:right w:val="none" w:sz="0" w:space="0" w:color="auto"/>
      </w:divBdr>
    </w:div>
    <w:div w:id="864757003">
      <w:bodyDiv w:val="1"/>
      <w:marLeft w:val="0"/>
      <w:marRight w:val="0"/>
      <w:marTop w:val="0"/>
      <w:marBottom w:val="0"/>
      <w:divBdr>
        <w:top w:val="none" w:sz="0" w:space="0" w:color="auto"/>
        <w:left w:val="none" w:sz="0" w:space="0" w:color="auto"/>
        <w:bottom w:val="none" w:sz="0" w:space="0" w:color="auto"/>
        <w:right w:val="none" w:sz="0" w:space="0" w:color="auto"/>
      </w:divBdr>
    </w:div>
    <w:div w:id="1187645208">
      <w:bodyDiv w:val="1"/>
      <w:marLeft w:val="0"/>
      <w:marRight w:val="0"/>
      <w:marTop w:val="0"/>
      <w:marBottom w:val="0"/>
      <w:divBdr>
        <w:top w:val="none" w:sz="0" w:space="0" w:color="auto"/>
        <w:left w:val="none" w:sz="0" w:space="0" w:color="auto"/>
        <w:bottom w:val="none" w:sz="0" w:space="0" w:color="auto"/>
        <w:right w:val="none" w:sz="0" w:space="0" w:color="auto"/>
      </w:divBdr>
    </w:div>
    <w:div w:id="210109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16</Pages>
  <Words>3939</Words>
  <Characters>24664</Characters>
  <Application>Microsoft Office Word</Application>
  <DocSecurity>0</DocSecurity>
  <Lines>4932</Lines>
  <Paragraphs>1021</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27582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Courville, Zoe R ERDC-RDE-CRREL-NH CIV</dc:creator>
  <cp:keywords/>
  <dc:description/>
  <cp:lastModifiedBy>Courville, Zoe R ERDC-RDE-CRREL-NH CIV</cp:lastModifiedBy>
  <cp:revision>7</cp:revision>
  <dcterms:created xsi:type="dcterms:W3CDTF">2021-07-09T00:57:00Z</dcterms:created>
  <dcterms:modified xsi:type="dcterms:W3CDTF">2021-07-16T17:40:00Z</dcterms:modified>
</cp:coreProperties>
</file>