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5DE6B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Руководство</w:t>
      </w:r>
      <w:r>
        <w:rPr>
          <w:rFonts w:hint="default"/>
          <w:b/>
          <w:bCs/>
          <w:sz w:val="28"/>
          <w:szCs w:val="28"/>
          <w:lang w:val="ru-RU"/>
        </w:rPr>
        <w:t xml:space="preserve"> пользователя</w:t>
      </w:r>
    </w:p>
    <w:p w14:paraId="4A831E85">
      <w:pPr>
        <w:jc w:val="center"/>
        <w:rPr>
          <w:rFonts w:hint="default"/>
          <w:b/>
          <w:bCs/>
          <w:sz w:val="28"/>
          <w:szCs w:val="28"/>
          <w:lang w:val="ru-RU"/>
        </w:rPr>
      </w:pPr>
    </w:p>
    <w:p w14:paraId="454407AE">
      <w:pPr>
        <w:spacing w:after="0" w:line="360" w:lineRule="auto"/>
        <w:ind w:firstLine="709"/>
        <w:jc w:val="both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>Первое что встречает пользователь, запустивший программу, является форма авторизаций или входа</w:t>
      </w:r>
      <w:r>
        <w:rPr>
          <w:rFonts w:hint="default"/>
          <w:sz w:val="24"/>
          <w:szCs w:val="24"/>
          <w:lang w:val="ru-RU"/>
        </w:rPr>
        <w:t>.</w:t>
      </w:r>
    </w:p>
    <w:p w14:paraId="22892A5C">
      <w:pPr>
        <w:jc w:val="center"/>
        <w:rPr>
          <w:lang w:eastAsia="ru-RU"/>
        </w:rPr>
      </w:pPr>
      <w:r>
        <w:rPr>
          <w:lang w:eastAsia="ru-RU"/>
        </w:rPr>
        <w:drawing>
          <wp:inline distT="0" distB="0" distL="114300" distR="114300">
            <wp:extent cx="3479165" cy="5984240"/>
            <wp:effectExtent l="0" t="0" r="6985" b="16510"/>
            <wp:docPr id="3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598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726D">
      <w:pPr>
        <w:jc w:val="center"/>
        <w:rPr>
          <w:sz w:val="24"/>
          <w:szCs w:val="24"/>
          <w:lang w:eastAsia="ru-RU"/>
        </w:rPr>
      </w:pPr>
    </w:p>
    <w:p w14:paraId="4E8D4363">
      <w:pPr>
        <w:spacing w:after="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Каждая форма предоставляет удобные поля и элементы управления, соответствующие конкретному типу данных, обеспечивая пользователям понятный и интуитивно понятный способ добавления информации в приложение. Это позволяет повысить удобство использования и эффективность работы с данными.</w:t>
      </w:r>
    </w:p>
    <w:p w14:paraId="2EE891E9">
      <w:pPr>
        <w:jc w:val="left"/>
        <w:rPr>
          <w:lang w:eastAsia="ru-RU"/>
        </w:rPr>
      </w:pPr>
      <w:r>
        <w:rPr>
          <w:lang w:eastAsia="ru-RU"/>
        </w:rPr>
        <w:drawing>
          <wp:inline distT="0" distB="0" distL="114300" distR="114300">
            <wp:extent cx="5476240" cy="3508375"/>
            <wp:effectExtent l="0" t="0" r="10160" b="15875"/>
            <wp:docPr id="2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CF1BA">
      <w:pPr>
        <w:jc w:val="left"/>
        <w:rPr>
          <w:lang w:eastAsia="ru-RU"/>
        </w:rPr>
      </w:pPr>
      <w:r>
        <w:rPr>
          <w:lang w:eastAsia="ru-RU"/>
        </w:rPr>
        <w:drawing>
          <wp:inline distT="0" distB="0" distL="114300" distR="114300">
            <wp:extent cx="5445760" cy="3451225"/>
            <wp:effectExtent l="0" t="0" r="2540" b="15875"/>
            <wp:docPr id="3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8300">
      <w:pPr>
        <w:jc w:val="left"/>
        <w:rPr>
          <w:lang w:eastAsia="ru-RU"/>
        </w:rPr>
      </w:pPr>
    </w:p>
    <w:p w14:paraId="70280F0D">
      <w:pPr>
        <w:spacing w:after="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попытке удаления система предоставляет диалоговое окно или подобный интерфейс, в котором запрашивается у пользователя подтверждение своего намерения удалить отчет. Это дополнительное подтверждение помогает предотвратить случайное удаление и позволяет пользователям более внимательно подходить к данной операции, обеспечивая безопасность данных и предотвращая возможные ошибки.</w:t>
      </w:r>
    </w:p>
    <w:p w14:paraId="36905D7C">
      <w:pPr>
        <w:keepNext/>
        <w:spacing w:before="120"/>
        <w:ind w:left="0" w:leftChars="0" w:firstLine="0" w:firstLineChars="0"/>
        <w:jc w:val="center"/>
      </w:pPr>
      <w:r>
        <w:rPr>
          <w:lang w:eastAsia="ru-RU"/>
        </w:rPr>
        <w:drawing>
          <wp:inline distT="0" distB="0" distL="114300" distR="114300">
            <wp:extent cx="3829050" cy="1419225"/>
            <wp:effectExtent l="0" t="0" r="0" b="9525"/>
            <wp:docPr id="3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99F1">
      <w:pPr>
        <w:jc w:val="center"/>
        <w:rPr>
          <w:lang w:eastAsia="ru-RU"/>
        </w:rPr>
      </w:pPr>
      <w:r>
        <w:rPr>
          <w:lang w:eastAsia="ru-RU"/>
        </w:rPr>
        <w:drawing>
          <wp:inline distT="0" distB="0" distL="114300" distR="114300">
            <wp:extent cx="3667125" cy="1400175"/>
            <wp:effectExtent l="0" t="0" r="9525" b="9525"/>
            <wp:docPr id="3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16EC">
      <w:pPr>
        <w:jc w:val="center"/>
        <w:rPr>
          <w:lang w:eastAsia="ru-RU"/>
        </w:rPr>
      </w:pPr>
    </w:p>
    <w:p w14:paraId="3267ADCC">
      <w:pPr>
        <w:spacing w:after="0" w:line="360" w:lineRule="auto"/>
        <w:ind w:firstLine="709"/>
        <w:jc w:val="both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>Фильтрация (см. Рисунок 19) встречает пользователя на окне с пользователями и окне с заявлениями</w:t>
      </w:r>
      <w:r>
        <w:rPr>
          <w:rFonts w:hint="default"/>
          <w:sz w:val="24"/>
          <w:szCs w:val="24"/>
          <w:lang w:val="ru-RU"/>
        </w:rPr>
        <w:t>.</w:t>
      </w:r>
    </w:p>
    <w:p w14:paraId="503E6D94">
      <w:pPr>
        <w:spacing w:before="120"/>
        <w:jc w:val="center"/>
      </w:pPr>
      <w:r>
        <w:drawing>
          <wp:inline distT="0" distB="0" distL="114300" distR="114300">
            <wp:extent cx="4972050" cy="1762125"/>
            <wp:effectExtent l="0" t="0" r="0" b="9525"/>
            <wp:docPr id="2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DC7D">
      <w:pPr>
        <w:spacing w:before="120"/>
        <w:jc w:val="center"/>
      </w:pPr>
      <w:r>
        <w:drawing>
          <wp:inline distT="0" distB="0" distL="114300" distR="114300">
            <wp:extent cx="4972050" cy="1781175"/>
            <wp:effectExtent l="0" t="0" r="0" b="9525"/>
            <wp:docPr id="2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EA17C">
      <w:pPr>
        <w:jc w:val="left"/>
      </w:pPr>
      <w:r>
        <w:drawing>
          <wp:inline distT="0" distB="0" distL="114300" distR="114300">
            <wp:extent cx="5114925" cy="2028825"/>
            <wp:effectExtent l="0" t="0" r="9525" b="9525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84FC">
      <w:pPr>
        <w:jc w:val="left"/>
      </w:pPr>
    </w:p>
    <w:p w14:paraId="3CC4767B">
      <w:pPr>
        <w:spacing w:line="360" w:lineRule="auto"/>
        <w:ind w:firstLine="709"/>
        <w:jc w:val="both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 xml:space="preserve">Отдельная форма для просмотра заявлений с дальнейшей возможностью сохранения в </w:t>
      </w:r>
      <w:r>
        <w:rPr>
          <w:sz w:val="24"/>
          <w:szCs w:val="24"/>
          <w:lang w:val="en-US"/>
        </w:rPr>
        <w:t>Excel</w:t>
      </w:r>
      <w:r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Word</w:t>
      </w:r>
      <w:r>
        <w:rPr>
          <w:sz w:val="24"/>
          <w:szCs w:val="24"/>
        </w:rPr>
        <w:t xml:space="preserve"> И Фильтрацией, которая обновляется после фильтрации в окне заявлений</w:t>
      </w:r>
      <w:r>
        <w:rPr>
          <w:rFonts w:hint="default"/>
          <w:sz w:val="24"/>
          <w:szCs w:val="24"/>
          <w:lang w:val="ru-RU"/>
        </w:rPr>
        <w:t>.</w:t>
      </w:r>
    </w:p>
    <w:p w14:paraId="1D9F7928">
      <w:pPr>
        <w:jc w:val="left"/>
      </w:pPr>
      <w:r>
        <w:drawing>
          <wp:inline distT="0" distB="0" distL="114300" distR="114300">
            <wp:extent cx="5936615" cy="4149725"/>
            <wp:effectExtent l="0" t="0" r="6985" b="3175"/>
            <wp:docPr id="2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5057">
      <w:pPr>
        <w:jc w:val="left"/>
      </w:pPr>
    </w:p>
    <w:p w14:paraId="0885C31A">
      <w:pPr>
        <w:spacing w:after="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Пользователь может навигироваться между страницами, используя специальные элементы управления, такие как кнопки ”Вперед” и ”Назад”, либо указывая конкретный номер страницы. Каждая страница содержит определенное количество записей, облегчая восприятие данных и предоставляя возможность более детального анализа.</w:t>
      </w:r>
    </w:p>
    <w:p w14:paraId="5DBC8552">
      <w:pPr>
        <w:spacing w:after="0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401945" cy="2836545"/>
            <wp:effectExtent l="0" t="0" r="8255" b="1905"/>
            <wp:docPr id="2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5ADC0">
      <w:pPr>
        <w:jc w:val="left"/>
      </w:pPr>
      <w:r>
        <w:drawing>
          <wp:inline distT="0" distB="0" distL="114300" distR="114300">
            <wp:extent cx="5256530" cy="2736215"/>
            <wp:effectExtent l="0" t="0" r="1270" b="6985"/>
            <wp:docPr id="3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ECC3">
      <w:pPr>
        <w:jc w:val="left"/>
      </w:pPr>
    </w:p>
    <w:p w14:paraId="1396BA6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Голоса можно сбросить в любой момент, а выбор голосования и содержание можно изменить в любой момент, имея права доступа Администратора. </w:t>
      </w:r>
    </w:p>
    <w:p w14:paraId="2CA251B3">
      <w:pPr>
        <w:jc w:val="left"/>
        <w:rPr>
          <w:lang w:eastAsia="ru-RU"/>
        </w:rPr>
      </w:pPr>
      <w:r>
        <w:rPr>
          <w:lang w:eastAsia="ru-RU"/>
        </w:rPr>
        <w:drawing>
          <wp:inline distT="0" distB="0" distL="114300" distR="114300">
            <wp:extent cx="5934075" cy="2841625"/>
            <wp:effectExtent l="0" t="0" r="9525" b="15875"/>
            <wp:docPr id="4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38C3">
      <w:pPr>
        <w:jc w:val="left"/>
        <w:rPr>
          <w:lang w:eastAsia="ru-RU"/>
        </w:rPr>
      </w:pPr>
    </w:p>
    <w:p w14:paraId="4FE6E53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В</w:t>
      </w:r>
      <w:r>
        <w:rPr>
          <w:sz w:val="24"/>
          <w:szCs w:val="24"/>
        </w:rPr>
        <w:t>ывод «мини» расписания в карточках с расписанием для классов. Это было реализовано с целью сэкономить время школьника или учителя у информационного киоска.</w:t>
      </w:r>
    </w:p>
    <w:p w14:paraId="56506279">
      <w:pPr>
        <w:jc w:val="both"/>
      </w:pPr>
    </w:p>
    <w:p w14:paraId="7ECEE8E4">
      <w:pPr>
        <w:jc w:val="center"/>
        <w:rPr>
          <w:lang w:eastAsia="ru-RU"/>
        </w:rPr>
      </w:pPr>
      <w:r>
        <w:rPr>
          <w:lang w:eastAsia="ru-RU"/>
        </w:rPr>
        <w:drawing>
          <wp:inline distT="0" distB="0" distL="114300" distR="114300">
            <wp:extent cx="4419600" cy="3362325"/>
            <wp:effectExtent l="0" t="0" r="0" b="9525"/>
            <wp:docPr id="4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BC62">
      <w:pPr>
        <w:jc w:val="center"/>
        <w:rPr>
          <w:lang w:eastAsia="ru-RU"/>
        </w:rPr>
      </w:pPr>
    </w:p>
    <w:p w14:paraId="6FE841BF">
      <w:pPr>
        <w:jc w:val="left"/>
        <w:rPr>
          <w:rFonts w:hint="default"/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>В</w:t>
      </w:r>
      <w:r>
        <w:rPr>
          <w:sz w:val="24"/>
          <w:szCs w:val="24"/>
          <w:highlight w:val="none"/>
        </w:rPr>
        <w:t>озможные виды диаграмм</w:t>
      </w:r>
      <w:r>
        <w:rPr>
          <w:rFonts w:hint="default"/>
          <w:sz w:val="24"/>
          <w:szCs w:val="24"/>
          <w:highlight w:val="none"/>
          <w:lang w:val="ru-RU"/>
        </w:rPr>
        <w:t>.</w:t>
      </w:r>
    </w:p>
    <w:p w14:paraId="18835F26">
      <w:pPr>
        <w:jc w:val="left"/>
        <w:rPr>
          <w:rFonts w:hint="default"/>
          <w:sz w:val="24"/>
          <w:szCs w:val="24"/>
          <w:highlight w:val="none"/>
          <w:lang w:val="ru-RU"/>
        </w:rPr>
      </w:pPr>
    </w:p>
    <w:p w14:paraId="77675AC1">
      <w:pPr>
        <w:jc w:val="left"/>
      </w:pPr>
      <w:r>
        <w:drawing>
          <wp:inline distT="0" distB="0" distL="114300" distR="114300">
            <wp:extent cx="5940425" cy="1041400"/>
            <wp:effectExtent l="0" t="0" r="3175" b="6350"/>
            <wp:docPr id="3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1747">
      <w:pPr>
        <w:jc w:val="left"/>
      </w:pPr>
      <w:r>
        <w:drawing>
          <wp:inline distT="0" distB="0" distL="114300" distR="114300">
            <wp:extent cx="5933440" cy="3852545"/>
            <wp:effectExtent l="0" t="0" r="10160" b="14605"/>
            <wp:docPr id="3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A934">
      <w:pPr>
        <w:jc w:val="left"/>
      </w:pPr>
      <w:r>
        <w:drawing>
          <wp:inline distT="0" distB="0" distL="114300" distR="114300">
            <wp:extent cx="5935980" cy="2844800"/>
            <wp:effectExtent l="0" t="0" r="7620" b="12700"/>
            <wp:docPr id="4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CABF">
      <w:pPr>
        <w:jc w:val="left"/>
      </w:pPr>
    </w:p>
    <w:p w14:paraId="64A2114C">
      <w:pPr>
        <w:pStyle w:val="4"/>
        <w:spacing w:after="0" w:line="360" w:lineRule="auto"/>
        <w:ind w:left="0" w:firstLine="709"/>
        <w:jc w:val="both"/>
        <w:rPr>
          <w:sz w:val="24"/>
          <w:szCs w:val="40"/>
          <w:highlight w:val="none"/>
        </w:rPr>
      </w:pPr>
      <w:r>
        <w:rPr>
          <w:sz w:val="24"/>
          <w:szCs w:val="40"/>
          <w:highlight w:val="none"/>
        </w:rPr>
        <w:t>При закрытии программы или обновлении страницы все введенные данные теряются</w:t>
      </w:r>
      <w:r>
        <w:rPr>
          <w:sz w:val="24"/>
          <w:szCs w:val="24"/>
          <w:highlight w:val="none"/>
        </w:rPr>
        <w:t>. (см. Рисунок 54)</w:t>
      </w:r>
    </w:p>
    <w:p w14:paraId="69BC0E4D">
      <w:pPr>
        <w:jc w:val="center"/>
        <w:rPr>
          <w:rFonts w:hint="default"/>
          <w:lang w:val="ru-RU" w:eastAsia="ru-RU"/>
        </w:rPr>
      </w:pPr>
      <w:r>
        <w:drawing>
          <wp:inline distT="0" distB="0" distL="114300" distR="114300">
            <wp:extent cx="5019675" cy="3171825"/>
            <wp:effectExtent l="0" t="0" r="9525" b="9525"/>
            <wp:docPr id="5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BD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2026-04-07T19:54:28Z</dcterms:created>
  <dc:creator>WhassupDogs</dc:creator>
  <cp:lastModifiedBy>WhassupDogs</cp:lastModifiedBy>
  <dcterms:modified xsi:type="dcterms:W3CDTF">2026-04-07T20:03:10Z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5F384EFA9AE34A6E8552748F4938120A_12</vt:lpwstr>
  </property>
</Properties>
</file>