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97360">
      <w:pPr>
        <w:pStyle w:val="2"/>
      </w:pPr>
      <w:bookmarkStart w:id="0" w:name="_Toc224554178"/>
      <w:r>
        <w:t>Оценка экономической/социальной эффективности проекта</w:t>
      </w:r>
      <w:bookmarkEnd w:id="0"/>
    </w:p>
    <w:p w14:paraId="50DC6169"/>
    <w:p w14:paraId="42566C0D">
      <w:pPr>
        <w:spacing w:after="0" w:line="360" w:lineRule="auto"/>
        <w:jc w:val="both"/>
      </w:pPr>
      <w:r>
        <w:t>Ключевыми факторами эк</w:t>
      </w:r>
      <w:bookmarkStart w:id="1" w:name="_GoBack"/>
      <w:bookmarkEnd w:id="1"/>
      <w:r>
        <w:t>ономической эффективности являются:</w:t>
      </w:r>
    </w:p>
    <w:p w14:paraId="5882EDD6">
      <w:pPr>
        <w:pStyle w:val="6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Минимизация упущенного дохода или формирование новых источников дохода.</w:t>
      </w:r>
    </w:p>
    <w:p w14:paraId="01ED6353">
      <w:pPr>
        <w:pStyle w:val="6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Снижение текущих производственных (эксплуатационных) затрат.</w:t>
      </w:r>
    </w:p>
    <w:p w14:paraId="75299732">
      <w:pPr>
        <w:pStyle w:val="6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Снижение административно-управленческих затрат.</w:t>
      </w:r>
    </w:p>
    <w:p w14:paraId="0B17C705">
      <w:pPr>
        <w:pStyle w:val="6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Минимизация налоговых и других обязательных выплат.</w:t>
      </w:r>
    </w:p>
    <w:p w14:paraId="22F86B35">
      <w:pPr>
        <w:pStyle w:val="6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Снижение потребности в капитальных затратах.</w:t>
      </w:r>
    </w:p>
    <w:p w14:paraId="13F2B541">
      <w:pPr>
        <w:pStyle w:val="6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Увеличение оборачиваемости текущих активов.</w:t>
      </w:r>
    </w:p>
    <w:p w14:paraId="14878E47">
      <w:pPr>
        <w:pStyle w:val="6"/>
        <w:spacing w:after="0" w:line="360" w:lineRule="auto"/>
        <w:ind w:left="1429"/>
        <w:jc w:val="both"/>
      </w:pPr>
      <w:r>
        <w:t>Единовременные затраты</w:t>
      </w:r>
    </w:p>
    <w:p w14:paraId="1BD3DE02">
      <w:pPr>
        <w:spacing w:after="0" w:line="360" w:lineRule="auto"/>
        <w:ind w:firstLine="709"/>
        <w:jc w:val="both"/>
      </w:pPr>
      <w:r>
        <w:t xml:space="preserve">Единовременные (капитальные) затраты вычисляются по следующей </w:t>
      </w:r>
    </w:p>
    <w:p w14:paraId="1E598D70">
      <w:pPr>
        <w:spacing w:after="0" w:line="360" w:lineRule="auto"/>
        <w:ind w:firstLine="709"/>
        <w:jc w:val="both"/>
      </w:pPr>
      <w:r>
        <w:t>формуле:</w:t>
      </w:r>
    </w:p>
    <w:p w14:paraId="0B5E4CDF">
      <w:pPr>
        <w:spacing w:after="0" w:line="360" w:lineRule="auto"/>
        <w:ind w:firstLine="709"/>
        <w:jc w:val="both"/>
      </w:pPr>
      <w:r>
        <w:t>К = Кпр+Ктс+Клс+Кпо+Кио+Коб+Коэ</w:t>
      </w:r>
    </w:p>
    <w:p w14:paraId="01BA70A0">
      <w:pPr>
        <w:spacing w:after="0" w:line="360" w:lineRule="auto"/>
        <w:ind w:firstLine="709"/>
        <w:jc w:val="both"/>
      </w:pPr>
      <w:r>
        <w:t>где Кпр – затраты на проектирование;</w:t>
      </w:r>
    </w:p>
    <w:p w14:paraId="2BACCA4B">
      <w:pPr>
        <w:spacing w:after="0" w:line="360" w:lineRule="auto"/>
        <w:ind w:firstLine="709"/>
        <w:jc w:val="both"/>
      </w:pPr>
      <w:r>
        <w:t>Ктс – затраты на технические средства управления;</w:t>
      </w:r>
    </w:p>
    <w:p w14:paraId="20F179B1">
      <w:pPr>
        <w:spacing w:after="0" w:line="360" w:lineRule="auto"/>
        <w:ind w:firstLine="709"/>
        <w:jc w:val="both"/>
      </w:pPr>
      <w:r>
        <w:t>Клс – затраты на создание линий связи локальных сетей;</w:t>
      </w:r>
    </w:p>
    <w:p w14:paraId="2D3CA328">
      <w:pPr>
        <w:spacing w:after="0" w:line="360" w:lineRule="auto"/>
        <w:ind w:firstLine="709"/>
        <w:jc w:val="both"/>
      </w:pPr>
      <w:r>
        <w:t>Кпо – затраты на программные средства;</w:t>
      </w:r>
    </w:p>
    <w:p w14:paraId="0DB369C1">
      <w:pPr>
        <w:spacing w:after="0" w:line="360" w:lineRule="auto"/>
        <w:ind w:firstLine="709"/>
        <w:jc w:val="both"/>
      </w:pPr>
      <w:r>
        <w:t>Кио – затраты на формирование информационной базы;</w:t>
      </w:r>
    </w:p>
    <w:p w14:paraId="49B7BE96">
      <w:pPr>
        <w:spacing w:after="0" w:line="360" w:lineRule="auto"/>
        <w:ind w:firstLine="709"/>
        <w:jc w:val="both"/>
      </w:pPr>
      <w:r>
        <w:t>Коб – затраты на обучение персонала;</w:t>
      </w:r>
    </w:p>
    <w:p w14:paraId="1B7D53AE">
      <w:pPr>
        <w:spacing w:after="0" w:line="360" w:lineRule="auto"/>
        <w:ind w:firstLine="709"/>
        <w:jc w:val="both"/>
      </w:pPr>
      <w:r>
        <w:t>Коэ – затраты на опытную эксплуатацию.</w:t>
      </w:r>
    </w:p>
    <w:p w14:paraId="78BD395B">
      <w:r>
        <w:rPr>
          <w:szCs w:val="28"/>
        </w:rPr>
        <w:t>Таблица 4 – Затраты на инструментальные программные средства для проектирования.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3091"/>
        <w:gridCol w:w="2620"/>
      </w:tblGrid>
      <w:tr w14:paraId="6709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1" w:type="dxa"/>
            <w:vMerge w:val="restart"/>
            <w:vAlign w:val="center"/>
          </w:tcPr>
          <w:p w14:paraId="2F09EDAF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Вид затрат</w:t>
            </w:r>
          </w:p>
        </w:tc>
        <w:tc>
          <w:tcPr>
            <w:tcW w:w="5711" w:type="dxa"/>
            <w:gridSpan w:val="2"/>
            <w:vAlign w:val="center"/>
          </w:tcPr>
          <w:p w14:paraId="6EB9E7D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Капитальные (единовременные) затраты</w:t>
            </w:r>
          </w:p>
        </w:tc>
      </w:tr>
      <w:tr w14:paraId="10A9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1" w:type="dxa"/>
            <w:vMerge w:val="continue"/>
            <w:vAlign w:val="center"/>
          </w:tcPr>
          <w:p w14:paraId="706BC719">
            <w:pPr>
              <w:autoSpaceDE w:val="0"/>
              <w:autoSpaceDN w:val="0"/>
              <w:adjustRightInd w:val="0"/>
              <w:spacing w:before="120"/>
              <w:ind w:firstLine="70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3091" w:type="dxa"/>
            <w:vAlign w:val="center"/>
          </w:tcPr>
          <w:p w14:paraId="021B89AB">
            <w:pPr>
              <w:autoSpaceDE w:val="0"/>
              <w:autoSpaceDN w:val="0"/>
              <w:adjustRightInd w:val="0"/>
              <w:spacing w:before="120"/>
              <w:ind w:firstLine="709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Состав затрат</w:t>
            </w:r>
          </w:p>
        </w:tc>
        <w:tc>
          <w:tcPr>
            <w:tcW w:w="2620" w:type="dxa"/>
            <w:vAlign w:val="center"/>
          </w:tcPr>
          <w:p w14:paraId="3E85C58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Планируемая сумма</w:t>
            </w:r>
          </w:p>
        </w:tc>
      </w:tr>
      <w:tr w14:paraId="7D79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tblHeader/>
        </w:trPr>
        <w:tc>
          <w:tcPr>
            <w:tcW w:w="2811" w:type="dxa"/>
          </w:tcPr>
          <w:p w14:paraId="134ECDC7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Инструментальные ПО</w:t>
            </w:r>
          </w:p>
        </w:tc>
        <w:tc>
          <w:tcPr>
            <w:tcW w:w="3091" w:type="dxa"/>
          </w:tcPr>
          <w:p w14:paraId="026470D9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Visual Studio Community, SQL Server Express, VS Code — всё бесплатно</w:t>
            </w:r>
          </w:p>
        </w:tc>
        <w:tc>
          <w:tcPr>
            <w:tcW w:w="2620" w:type="dxa"/>
          </w:tcPr>
          <w:p w14:paraId="592A7203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14:paraId="033AA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1" w:hRule="atLeast"/>
          <w:tblHeader/>
        </w:trPr>
        <w:tc>
          <w:tcPr>
            <w:tcW w:w="2811" w:type="dxa"/>
          </w:tcPr>
          <w:p w14:paraId="642294DC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Затраты на проектирование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sz w:val="24"/>
                <w:szCs w:val="24"/>
                <w:lang w:eastAsia="ru-RU"/>
              </w:rPr>
              <w:t xml:space="preserve"> разработку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и создание информационной базы</w:t>
            </w:r>
          </w:p>
        </w:tc>
        <w:tc>
          <w:tcPr>
            <w:tcW w:w="3091" w:type="dxa"/>
          </w:tcPr>
          <w:p w14:paraId="0ECCC505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з/п проектировщика, инструментальные программные средства вычислительной техники для проектирования, прочие затраты на проектирование.</w:t>
            </w:r>
          </w:p>
          <w:p w14:paraId="71212BBD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з/п программиста базы данных, программное обеспечение для работы с базой данных, затраты на хранение базы данных</w:t>
            </w:r>
          </w:p>
        </w:tc>
        <w:tc>
          <w:tcPr>
            <w:tcW w:w="2620" w:type="dxa"/>
            <w:tcBorders/>
          </w:tcPr>
          <w:p w14:paraId="577E2508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150 часов × 300 руб./час (ставка студента/младшего специалиста)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>. Итого 45 000</w:t>
            </w:r>
          </w:p>
        </w:tc>
      </w:tr>
      <w:tr w14:paraId="62CD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1" w:type="dxa"/>
          </w:tcPr>
          <w:p w14:paraId="1E02DF7B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Амортизация ПК</w:t>
            </w:r>
          </w:p>
        </w:tc>
        <w:tc>
          <w:tcPr>
            <w:tcW w:w="3091" w:type="dxa"/>
          </w:tcPr>
          <w:p w14:paraId="262A9257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Физический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 xml:space="preserve"> и</w:t>
            </w:r>
            <w:r>
              <w:rPr>
                <w:rFonts w:hint="default"/>
                <w:sz w:val="24"/>
                <w:szCs w:val="24"/>
                <w:lang w:eastAsia="ru-RU"/>
              </w:rPr>
              <w:t>знос компьютера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620" w:type="dxa"/>
          </w:tcPr>
          <w:p w14:paraId="09B429D4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150 часов × 25 руб./час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>. Итого 3750</w:t>
            </w:r>
          </w:p>
        </w:tc>
      </w:tr>
      <w:tr w14:paraId="698B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1" w:type="dxa"/>
          </w:tcPr>
          <w:p w14:paraId="638589D1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Электроэнергия</w:t>
            </w:r>
          </w:p>
        </w:tc>
        <w:tc>
          <w:tcPr>
            <w:tcW w:w="3091" w:type="dxa"/>
          </w:tcPr>
          <w:p w14:paraId="5DCCAEA1">
            <w:pPr>
              <w:autoSpaceDE w:val="0"/>
              <w:autoSpaceDN w:val="0"/>
              <w:adjustRightInd w:val="0"/>
              <w:spacing w:after="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620" w:type="dxa"/>
          </w:tcPr>
          <w:p w14:paraId="76E5970E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150 ч × 0.3 кВт × 6 руб./кВт·ч</w:t>
            </w:r>
            <w:r>
              <w:rPr>
                <w:rFonts w:hint="default"/>
                <w:sz w:val="24"/>
                <w:szCs w:val="24"/>
                <w:lang w:val="en-US" w:eastAsia="ru-RU"/>
              </w:rPr>
              <w:t>. Итого 270</w:t>
            </w:r>
          </w:p>
        </w:tc>
      </w:tr>
      <w:tr w14:paraId="38E0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1" w:type="dxa"/>
          </w:tcPr>
          <w:p w14:paraId="055270E9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Прочие расходы (интернет, бумага, канцтовары)</w:t>
            </w:r>
          </w:p>
        </w:tc>
        <w:tc>
          <w:tcPr>
            <w:tcW w:w="3091" w:type="dxa"/>
          </w:tcPr>
          <w:p w14:paraId="25124627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620" w:type="dxa"/>
          </w:tcPr>
          <w:p w14:paraId="73EBE933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1 000</w:t>
            </w:r>
          </w:p>
        </w:tc>
      </w:tr>
      <w:tr w14:paraId="1F9A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11" w:type="dxa"/>
          </w:tcPr>
          <w:p w14:paraId="2FC16055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eastAsia="ru-RU"/>
              </w:rPr>
            </w:pPr>
            <w:r>
              <w:rPr>
                <w:rFonts w:hint="default"/>
                <w:b/>
                <w:bCs/>
                <w:sz w:val="24"/>
                <w:szCs w:val="24"/>
                <w:lang w:eastAsia="ru-RU"/>
              </w:rPr>
              <w:t>Итого капитальных затрат (Кпр)</w:t>
            </w:r>
          </w:p>
        </w:tc>
        <w:tc>
          <w:tcPr>
            <w:tcW w:w="3091" w:type="dxa"/>
          </w:tcPr>
          <w:p w14:paraId="44EF654A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val="en-US" w:eastAsia="ru-RU"/>
              </w:rPr>
            </w:pPr>
            <w:r>
              <w:rPr>
                <w:rFonts w:hint="default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620" w:type="dxa"/>
          </w:tcPr>
          <w:p w14:paraId="49B24802">
            <w:pPr>
              <w:autoSpaceDE w:val="0"/>
              <w:autoSpaceDN w:val="0"/>
              <w:adjustRightInd w:val="0"/>
              <w:spacing w:after="0"/>
              <w:jc w:val="both"/>
              <w:rPr>
                <w:rFonts w:hint="default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50 020 руб.</w:t>
            </w:r>
          </w:p>
        </w:tc>
      </w:tr>
    </w:tbl>
    <w:p w14:paraId="6EFA1B29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Затраты на формирование информационной базы Кио относятся к формированию условно-постоянной информации. Затраты на проектирование рассчитываются следующим образом:</w:t>
      </w:r>
    </w:p>
    <w:p w14:paraId="679ECF0D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 xml:space="preserve">Кпр=Кзп+Кипс+Ксвт+Кпроч </w:t>
      </w:r>
    </w:p>
    <w:p w14:paraId="2128676F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где Кзп – затраты на заработную плату проектировщиков;</w:t>
      </w:r>
    </w:p>
    <w:p w14:paraId="1C93FD04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 xml:space="preserve">Кипс – затраты на инструментальные программные средства для </w:t>
      </w:r>
    </w:p>
    <w:p w14:paraId="271CCA93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проектирования;</w:t>
      </w:r>
    </w:p>
    <w:p w14:paraId="5AE284A1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 xml:space="preserve">Ксвт – затраты на средства вычислительной техники для </w:t>
      </w:r>
    </w:p>
    <w:p w14:paraId="0D5B58C2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проектирования;</w:t>
      </w:r>
    </w:p>
    <w:p w14:paraId="7D8C4C62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Кпроч – прочие затраты на проектирование.</w:t>
      </w:r>
    </w:p>
    <w:p w14:paraId="5F2A8373">
      <w:r>
        <w:rPr>
          <w:color w:val="000000"/>
          <w:szCs w:val="28"/>
        </w:rPr>
        <w:t>Таблица 5 – Единовременные и прочие затраты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7"/>
        <w:gridCol w:w="4315"/>
      </w:tblGrid>
      <w:tr w14:paraId="4CBF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785" w:type="dxa"/>
            <w:vAlign w:val="center"/>
          </w:tcPr>
          <w:p w14:paraId="12B81CF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Программное средство</w:t>
            </w:r>
          </w:p>
        </w:tc>
        <w:tc>
          <w:tcPr>
            <w:tcW w:w="4786" w:type="dxa"/>
            <w:vAlign w:val="center"/>
          </w:tcPr>
          <w:p w14:paraId="3FF9C00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Стоимость(руб.)</w:t>
            </w:r>
          </w:p>
        </w:tc>
      </w:tr>
      <w:tr w14:paraId="4A5C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0F52A39F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Microsoft Visual Studio </w:t>
            </w:r>
            <w:r>
              <w:rPr>
                <w:sz w:val="24"/>
                <w:szCs w:val="24"/>
                <w:lang w:val="en-US" w:eastAsia="ru-RU"/>
              </w:rPr>
              <w:t>Community</w:t>
            </w:r>
          </w:p>
        </w:tc>
        <w:tc>
          <w:tcPr>
            <w:tcW w:w="4786" w:type="dxa"/>
          </w:tcPr>
          <w:p w14:paraId="6C5C035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14:paraId="142A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A99C9B0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 xml:space="preserve">Microsoft SQL Server Express Edition </w:t>
            </w:r>
          </w:p>
        </w:tc>
        <w:tc>
          <w:tcPr>
            <w:tcW w:w="4786" w:type="dxa"/>
          </w:tcPr>
          <w:p w14:paraId="63B13953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14:paraId="0025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</w:tcPr>
          <w:p w14:paraId="5F2271F4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Inno Setup</w:t>
            </w:r>
          </w:p>
        </w:tc>
        <w:tc>
          <w:tcPr>
            <w:tcW w:w="4786" w:type="dxa"/>
          </w:tcPr>
          <w:p w14:paraId="7A3271D0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14:paraId="699C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D3E5DF5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Microsoft Visio</w:t>
            </w:r>
          </w:p>
        </w:tc>
        <w:tc>
          <w:tcPr>
            <w:tcW w:w="4786" w:type="dxa"/>
          </w:tcPr>
          <w:p w14:paraId="7E91D910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14:paraId="1909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3BE8CDE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Microsoft Visual Studio Code</w:t>
            </w:r>
          </w:p>
        </w:tc>
        <w:tc>
          <w:tcPr>
            <w:tcW w:w="4786" w:type="dxa"/>
          </w:tcPr>
          <w:p w14:paraId="637D2486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  <w:tr w14:paraId="20B5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</w:tcPr>
          <w:p w14:paraId="068F4C25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4786" w:type="dxa"/>
          </w:tcPr>
          <w:p w14:paraId="4580D9B8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</w:t>
            </w:r>
          </w:p>
        </w:tc>
      </w:tr>
    </w:tbl>
    <w:p w14:paraId="5E50ECF4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</w:p>
    <w:p w14:paraId="680E7575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Затраты на средства вычислительной техники для проектирования сведены к нулю, так как нет необходимости в приобретении аппаратных средств. Полная стоимость затрат на проектирование составляет:</w:t>
      </w:r>
    </w:p>
    <w:p w14:paraId="1F3E0867">
      <w:pPr>
        <w:spacing w:after="0" w:line="360" w:lineRule="auto"/>
        <w:ind w:firstLine="709"/>
        <w:jc w:val="both"/>
        <w:rPr>
          <w:rFonts w:eastAsiaTheme="majorEastAsia"/>
          <w:b/>
          <w:bCs/>
          <w:szCs w:val="32"/>
        </w:rPr>
      </w:pPr>
      <w:r>
        <w:rPr>
          <w:rFonts w:eastAsiaTheme="majorEastAsia"/>
          <w:szCs w:val="32"/>
        </w:rPr>
        <w:t>Кпр=з/пл+затр на инстр ПС +прочие затраты на технические средства управления составляют 0 руб., так как нет необходимости в их приобретении.</w:t>
      </w:r>
    </w:p>
    <w:p w14:paraId="4C4EF236">
      <w:pPr>
        <w:spacing w:after="0" w:line="360" w:lineRule="auto"/>
        <w:ind w:firstLine="709"/>
        <w:jc w:val="both"/>
        <w:rPr>
          <w:rFonts w:eastAsiaTheme="majorEastAsia"/>
          <w:b/>
          <w:bCs/>
          <w:szCs w:val="32"/>
        </w:rPr>
      </w:pPr>
      <w:r>
        <w:rPr>
          <w:rFonts w:eastAsiaTheme="majorEastAsia"/>
          <w:szCs w:val="32"/>
        </w:rPr>
        <w:t>Оценка рисков проекта</w:t>
      </w:r>
    </w:p>
    <w:p w14:paraId="2D4EFECA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Необходимо провести качественную оценку рисков. Риски оцениваются по трехуровневой шкале влияния рисков на реализацию проекта:</w:t>
      </w:r>
    </w:p>
    <w:p w14:paraId="71867390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t>”</w:t>
      </w:r>
      <w:r>
        <w:rPr>
          <w:rFonts w:eastAsiaTheme="majorEastAsia"/>
          <w:szCs w:val="32"/>
        </w:rPr>
        <w:t xml:space="preserve"> низкий уровень</w:t>
      </w:r>
      <w:r>
        <w:t>”</w:t>
      </w:r>
      <w:r>
        <w:rPr>
          <w:rFonts w:eastAsiaTheme="majorEastAsia"/>
          <w:szCs w:val="32"/>
        </w:rPr>
        <w:t xml:space="preserve"> – малый риск, незначительное влияние на проект;</w:t>
      </w:r>
    </w:p>
    <w:p w14:paraId="38D655A9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t>”</w:t>
      </w:r>
      <w:r>
        <w:rPr>
          <w:rFonts w:eastAsiaTheme="majorEastAsia"/>
          <w:szCs w:val="32"/>
        </w:rPr>
        <w:t xml:space="preserve"> средний уровень</w:t>
      </w:r>
      <w:r>
        <w:t>”</w:t>
      </w:r>
      <w:r>
        <w:rPr>
          <w:rFonts w:eastAsiaTheme="majorEastAsia"/>
          <w:szCs w:val="32"/>
        </w:rPr>
        <w:t xml:space="preserve"> – риск, имеющий равную вероятность повлиять и </w:t>
      </w:r>
    </w:p>
    <w:p w14:paraId="6EF3706A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не повлиять на результат исполнения проекта;</w:t>
      </w:r>
    </w:p>
    <w:p w14:paraId="010E7E4F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” высокий уровень</w:t>
      </w:r>
      <w:r>
        <w:t>”</w:t>
      </w:r>
      <w:r>
        <w:rPr>
          <w:rFonts w:eastAsiaTheme="majorEastAsia"/>
          <w:szCs w:val="32"/>
        </w:rPr>
        <w:t xml:space="preserve"> – высокий риск, заключающийся в </w:t>
      </w:r>
    </w:p>
    <w:p w14:paraId="4702EB75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 xml:space="preserve">неисполнении проекта или в значительном изменении результата его </w:t>
      </w:r>
    </w:p>
    <w:p w14:paraId="72B0F051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реализации.</w:t>
      </w:r>
    </w:p>
    <w:p w14:paraId="032AC2A1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Результаты качественной оценки рисков приведены далее также в таблице указаны мероприятия по снижению вероятности рисков, имеющих наивысшую оценку.</w:t>
      </w:r>
    </w:p>
    <w:p w14:paraId="3ED4C800">
      <w:r>
        <w:t>Таблица 6 – Риски проекта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253"/>
        <w:gridCol w:w="2194"/>
        <w:gridCol w:w="2233"/>
      </w:tblGrid>
      <w:tr w14:paraId="1CF4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B68B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Группы рисков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8EA5A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Перечень рисков проекта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18356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Уровень влияния риска на проект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37AEE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Возможность предотвращения или снижения риска</w:t>
            </w:r>
          </w:p>
        </w:tc>
      </w:tr>
      <w:tr w14:paraId="6425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AAAAA">
            <w:pPr>
              <w:autoSpaceDE w:val="0"/>
              <w:autoSpaceDN w:val="0"/>
              <w:adjustRightInd w:val="0"/>
              <w:spacing w:before="120"/>
              <w:jc w:val="both"/>
              <w:rPr>
                <w:b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низкий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6C95A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Технические проблемы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1BB4D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Незначительное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E10F2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Тщательное тестирование ПО перед внедрением</w:t>
            </w:r>
          </w:p>
        </w:tc>
      </w:tr>
      <w:tr w14:paraId="43795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99B0D">
            <w:pPr>
              <w:autoSpaceDE w:val="0"/>
              <w:autoSpaceDN w:val="0"/>
              <w:adjustRightInd w:val="0"/>
              <w:spacing w:before="120"/>
              <w:jc w:val="both"/>
              <w:rPr>
                <w:b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12961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Изменение законодательства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0AB36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Среднее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D32FF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Постоянное обновление и адаптация учебных программ</w:t>
            </w:r>
          </w:p>
        </w:tc>
      </w:tr>
      <w:tr w14:paraId="1FAB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925B9A">
            <w:pPr>
              <w:autoSpaceDE w:val="0"/>
              <w:autoSpaceDN w:val="0"/>
              <w:adjustRightInd w:val="0"/>
              <w:spacing w:before="120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FB4A7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Финансовые проблемы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EB195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Значительное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C0EFFD">
            <w:pPr>
              <w:autoSpaceDE w:val="0"/>
              <w:autoSpaceDN w:val="0"/>
              <w:adjustRightInd w:val="0"/>
              <w:spacing w:before="120"/>
              <w:jc w:val="both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Разработка резервных финансовых планов, поиск дополнительных источников финансирования</w:t>
            </w:r>
          </w:p>
        </w:tc>
      </w:tr>
    </w:tbl>
    <w:p w14:paraId="2BC51F6B">
      <w:pPr>
        <w:spacing w:after="0" w:line="360" w:lineRule="auto"/>
        <w:jc w:val="both"/>
        <w:rPr>
          <w:rFonts w:eastAsiaTheme="majorEastAsia"/>
          <w:b/>
          <w:bCs/>
          <w:szCs w:val="32"/>
        </w:rPr>
      </w:pPr>
    </w:p>
    <w:p w14:paraId="4713535B">
      <w:pPr>
        <w:spacing w:after="0" w:line="360" w:lineRule="auto"/>
        <w:ind w:firstLine="709"/>
        <w:jc w:val="both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Выводы по разделу Экономическая и социальная эффективность от внедрения</w:t>
      </w:r>
    </w:p>
    <w:p w14:paraId="4148F05A">
      <w:pPr>
        <w:spacing w:after="0" w:line="360" w:lineRule="auto"/>
        <w:ind w:firstLine="709"/>
        <w:jc w:val="both"/>
        <w:rPr>
          <w:rFonts w:hint="default" w:eastAsiaTheme="majorEastAsia"/>
          <w:szCs w:val="32"/>
          <w:lang w:val="ru-RU"/>
        </w:rPr>
      </w:pPr>
      <w:r>
        <w:rPr>
          <w:rFonts w:hint="default" w:eastAsiaTheme="majorEastAsia"/>
          <w:szCs w:val="32"/>
          <w:lang w:val="ru-RU"/>
        </w:rPr>
        <w:t>В данном разделе произведен расчет всех капитальных (единовременных) и эксплуатационных затрат также составлен перечень возможных рисков проекта, дана качественная оценка и указаны мероприятия по снижению вероятности рисков. Все полученные данные представлены в сводных таблицах.</w:t>
      </w:r>
    </w:p>
    <w:p w14:paraId="2F5C6D85">
      <w:pPr>
        <w:spacing w:after="0" w:line="360" w:lineRule="auto"/>
        <w:ind w:firstLine="709"/>
        <w:jc w:val="both"/>
        <w:rPr>
          <w:rFonts w:hint="default" w:eastAsiaTheme="majorEastAsia"/>
          <w:szCs w:val="32"/>
          <w:lang w:val="ru-RU"/>
        </w:rPr>
      </w:pPr>
      <w:r>
        <w:rPr>
          <w:rFonts w:hint="default" w:eastAsiaTheme="majorEastAsia"/>
          <w:szCs w:val="32"/>
          <w:lang w:val="ru-RU"/>
        </w:rPr>
        <w:t>Результат (экономия)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55"/>
        <w:gridCol w:w="2215"/>
        <w:gridCol w:w="1650"/>
        <w:gridCol w:w="1526"/>
        <w:gridCol w:w="949"/>
        <w:gridCol w:w="927"/>
      </w:tblGrid>
      <w:tr w14:paraId="465F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5" w:type="dxa"/>
          </w:tcPr>
          <w:p w14:paraId="6CECDAEB">
            <w:pPr>
              <w:spacing w:after="0" w:line="240" w:lineRule="auto"/>
              <w:jc w:val="both"/>
              <w:rPr>
                <w:rFonts w:hint="default" w:eastAsiaTheme="majorEastAsia"/>
                <w:b w:val="0"/>
                <w:bCs w:val="0"/>
                <w:szCs w:val="32"/>
                <w:vertAlign w:val="baseline"/>
                <w:lang w:val="ru-RU"/>
              </w:rPr>
            </w:pPr>
            <w:r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  <w:t>Кто экономит</w:t>
            </w:r>
          </w:p>
        </w:tc>
        <w:tc>
          <w:tcPr>
            <w:tcW w:w="2215" w:type="dxa"/>
          </w:tcPr>
          <w:p w14:paraId="3AB0DB87">
            <w:pPr>
              <w:spacing w:after="0" w:line="240" w:lineRule="auto"/>
              <w:jc w:val="both"/>
              <w:rPr>
                <w:rFonts w:hint="default" w:eastAsiaTheme="majorEastAsia"/>
                <w:b w:val="0"/>
                <w:bCs w:val="0"/>
                <w:szCs w:val="32"/>
                <w:vertAlign w:val="baseline"/>
                <w:lang w:val="ru-RU"/>
              </w:rPr>
            </w:pPr>
            <w:r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  <w:t>Что было раньше</w:t>
            </w:r>
          </w:p>
        </w:tc>
        <w:tc>
          <w:tcPr>
            <w:tcW w:w="1650" w:type="dxa"/>
          </w:tcPr>
          <w:p w14:paraId="69FAC7C2">
            <w:pPr>
              <w:spacing w:after="0" w:line="240" w:lineRule="auto"/>
              <w:jc w:val="both"/>
              <w:rPr>
                <w:rFonts w:hint="default" w:eastAsiaTheme="majorEastAsia"/>
                <w:b w:val="0"/>
                <w:bCs w:val="0"/>
                <w:szCs w:val="32"/>
                <w:vertAlign w:val="baseline"/>
                <w:lang w:val="ru-RU"/>
              </w:rPr>
            </w:pPr>
            <w:r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  <w:t>Что стало</w:t>
            </w:r>
          </w:p>
        </w:tc>
        <w:tc>
          <w:tcPr>
            <w:tcW w:w="1526" w:type="dxa"/>
          </w:tcPr>
          <w:p w14:paraId="09E06CF4">
            <w:pPr>
              <w:spacing w:after="0" w:line="240" w:lineRule="auto"/>
              <w:jc w:val="both"/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  <w:t>Экономия времени</w:t>
            </w:r>
          </w:p>
        </w:tc>
        <w:tc>
          <w:tcPr>
            <w:tcW w:w="949" w:type="dxa"/>
          </w:tcPr>
          <w:p w14:paraId="4D16B60B">
            <w:pPr>
              <w:spacing w:after="0" w:line="240" w:lineRule="auto"/>
              <w:jc w:val="both"/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  <w:t>Ставка (руб./час)</w:t>
            </w:r>
          </w:p>
        </w:tc>
        <w:tc>
          <w:tcPr>
            <w:tcW w:w="927" w:type="dxa"/>
          </w:tcPr>
          <w:p w14:paraId="790DBE97">
            <w:pPr>
              <w:spacing w:after="0" w:line="240" w:lineRule="auto"/>
              <w:jc w:val="both"/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b w:val="0"/>
                <w:bCs w:val="0"/>
                <w:sz w:val="24"/>
                <w:szCs w:val="28"/>
                <w:vertAlign w:val="baseline"/>
                <w:lang w:val="ru-RU"/>
              </w:rPr>
              <w:t>Экономия в месяц</w:t>
            </w:r>
          </w:p>
        </w:tc>
      </w:tr>
      <w:tr w14:paraId="16AF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5" w:type="dxa"/>
          </w:tcPr>
          <w:p w14:paraId="64FE7BFA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администратор</w:t>
            </w:r>
          </w:p>
        </w:tc>
        <w:tc>
          <w:tcPr>
            <w:tcW w:w="2215" w:type="dxa"/>
          </w:tcPr>
          <w:p w14:paraId="09C6CEF4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Печать и расклейка объявлений: 2 часа в неделю</w:t>
            </w:r>
          </w:p>
        </w:tc>
        <w:tc>
          <w:tcPr>
            <w:tcW w:w="1650" w:type="dxa"/>
          </w:tcPr>
          <w:p w14:paraId="6E55A5FA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Загрузка контента в админ-панель: 10 мин в неделю</w:t>
            </w:r>
          </w:p>
        </w:tc>
        <w:tc>
          <w:tcPr>
            <w:tcW w:w="1526" w:type="dxa"/>
          </w:tcPr>
          <w:p w14:paraId="5C001FEB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1 час 50 мин × 4 недели = 7.3 часа</w:t>
            </w:r>
          </w:p>
        </w:tc>
        <w:tc>
          <w:tcPr>
            <w:tcW w:w="949" w:type="dxa"/>
          </w:tcPr>
          <w:p w14:paraId="0C5B2196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250</w:t>
            </w:r>
          </w:p>
        </w:tc>
        <w:tc>
          <w:tcPr>
            <w:tcW w:w="927" w:type="dxa"/>
          </w:tcPr>
          <w:p w14:paraId="516C9CD8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1 825</w:t>
            </w:r>
          </w:p>
        </w:tc>
      </w:tr>
      <w:tr w14:paraId="1C99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5" w:type="dxa"/>
          </w:tcPr>
          <w:p w14:paraId="6FD4B7B3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 xml:space="preserve">Учителя </w:t>
            </w:r>
          </w:p>
        </w:tc>
        <w:tc>
          <w:tcPr>
            <w:tcW w:w="2215" w:type="dxa"/>
          </w:tcPr>
          <w:p w14:paraId="6C4AC315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Ответы на вопросы «где кабинет?», «какое расписание?»: 10 мин/день каждый</w:t>
            </w:r>
          </w:p>
        </w:tc>
        <w:tc>
          <w:tcPr>
            <w:tcW w:w="1650" w:type="dxa"/>
          </w:tcPr>
          <w:p w14:paraId="1C557E16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Ученики смотрят в инфомате</w:t>
            </w:r>
          </w:p>
        </w:tc>
        <w:tc>
          <w:tcPr>
            <w:tcW w:w="1526" w:type="dxa"/>
          </w:tcPr>
          <w:p w14:paraId="09EA6913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10 мин × 5 чел. × 20 дней = 16.7 часа</w:t>
            </w:r>
          </w:p>
        </w:tc>
        <w:tc>
          <w:tcPr>
            <w:tcW w:w="949" w:type="dxa"/>
          </w:tcPr>
          <w:p w14:paraId="58296B93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350</w:t>
            </w:r>
          </w:p>
        </w:tc>
        <w:tc>
          <w:tcPr>
            <w:tcW w:w="927" w:type="dxa"/>
          </w:tcPr>
          <w:p w14:paraId="6F2874B7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5845</w:t>
            </w:r>
          </w:p>
        </w:tc>
      </w:tr>
      <w:tr w14:paraId="4EC4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5" w:type="dxa"/>
          </w:tcPr>
          <w:p w14:paraId="1A0D89FE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Завуч</w:t>
            </w:r>
          </w:p>
        </w:tc>
        <w:tc>
          <w:tcPr>
            <w:tcW w:w="2215" w:type="dxa"/>
          </w:tcPr>
          <w:p w14:paraId="403721CC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Обновление расписания на стендах: 1 час в неделю</w:t>
            </w:r>
          </w:p>
        </w:tc>
        <w:tc>
          <w:tcPr>
            <w:tcW w:w="1650" w:type="dxa"/>
          </w:tcPr>
          <w:p w14:paraId="5E4E34A1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5 минут в неделю</w:t>
            </w:r>
          </w:p>
        </w:tc>
        <w:tc>
          <w:tcPr>
            <w:tcW w:w="1526" w:type="dxa"/>
          </w:tcPr>
          <w:p w14:paraId="793BE282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55 мин × 4 недели = 3.7 часа</w:t>
            </w:r>
          </w:p>
        </w:tc>
        <w:tc>
          <w:tcPr>
            <w:tcW w:w="949" w:type="dxa"/>
          </w:tcPr>
          <w:p w14:paraId="24E30E57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400</w:t>
            </w:r>
          </w:p>
        </w:tc>
        <w:tc>
          <w:tcPr>
            <w:tcW w:w="927" w:type="dxa"/>
          </w:tcPr>
          <w:p w14:paraId="32C2BBAC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1480</w:t>
            </w:r>
          </w:p>
        </w:tc>
      </w:tr>
      <w:tr w14:paraId="0BD7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95" w:type="dxa"/>
            <w:gridSpan w:val="5"/>
          </w:tcPr>
          <w:p w14:paraId="4F04A198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Итого экономия в месяц</w:t>
            </w:r>
          </w:p>
        </w:tc>
        <w:tc>
          <w:tcPr>
            <w:tcW w:w="927" w:type="dxa"/>
          </w:tcPr>
          <w:p w14:paraId="333AEF89">
            <w:pPr>
              <w:spacing w:after="0" w:line="240" w:lineRule="auto"/>
              <w:jc w:val="both"/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</w:pPr>
            <w:r>
              <w:rPr>
                <w:rFonts w:hint="default" w:eastAsiaTheme="majorEastAsia"/>
                <w:sz w:val="24"/>
                <w:szCs w:val="28"/>
                <w:vertAlign w:val="baseline"/>
                <w:lang w:val="ru-RU"/>
              </w:rPr>
              <w:t>9150 руб.</w:t>
            </w:r>
          </w:p>
        </w:tc>
      </w:tr>
    </w:tbl>
    <w:p w14:paraId="5CABE53B">
      <w:pPr>
        <w:spacing w:after="0" w:line="360" w:lineRule="auto"/>
        <w:ind w:firstLine="709"/>
        <w:jc w:val="both"/>
        <w:rPr>
          <w:rFonts w:hint="default" w:eastAsiaTheme="majorEastAsia"/>
          <w:szCs w:val="32"/>
          <w:lang w:val="ru-RU"/>
        </w:rPr>
      </w:pPr>
    </w:p>
    <w:p w14:paraId="2DD6363C">
      <w:pPr>
        <w:spacing w:after="0" w:line="360" w:lineRule="auto"/>
        <w:ind w:firstLine="709"/>
        <w:jc w:val="both"/>
        <w:rPr>
          <w:rFonts w:hint="default" w:eastAsiaTheme="majorEastAsia"/>
          <w:szCs w:val="32"/>
          <w:lang w:val="ru-RU"/>
        </w:rPr>
      </w:pPr>
      <w:r>
        <w:rPr>
          <w:rFonts w:hint="default" w:eastAsiaTheme="majorEastAsia"/>
          <w:szCs w:val="32"/>
          <w:lang w:val="ru-RU"/>
        </w:rPr>
        <w:t>Итоговый расчёт</w:t>
      </w:r>
    </w:p>
    <w:p w14:paraId="0F4C3BC4">
      <w:pPr>
        <w:numPr>
          <w:ilvl w:val="0"/>
          <w:numId w:val="2"/>
        </w:numPr>
        <w:spacing w:after="0" w:line="360" w:lineRule="auto"/>
        <w:ind w:left="420" w:leftChars="0" w:hanging="420" w:firstLineChars="0"/>
        <w:jc w:val="both"/>
        <w:rPr>
          <w:rFonts w:hint="default" w:eastAsiaTheme="majorEastAsia"/>
          <w:szCs w:val="32"/>
          <w:lang w:val="ru-RU"/>
        </w:rPr>
      </w:pPr>
      <w:r>
        <w:rPr>
          <w:rFonts w:hint="default" w:eastAsiaTheme="majorEastAsia"/>
          <w:szCs w:val="32"/>
          <w:lang w:val="ru-RU"/>
        </w:rPr>
        <w:t xml:space="preserve">    Капитальные затраты (разовые): 50 020 руб.</w:t>
      </w:r>
    </w:p>
    <w:p w14:paraId="59B1286F">
      <w:pPr>
        <w:numPr>
          <w:ilvl w:val="0"/>
          <w:numId w:val="2"/>
        </w:numPr>
        <w:spacing w:after="0" w:line="360" w:lineRule="auto"/>
        <w:ind w:left="420" w:leftChars="0" w:hanging="420" w:firstLineChars="0"/>
        <w:jc w:val="both"/>
        <w:rPr>
          <w:rFonts w:hint="default" w:eastAsiaTheme="majorEastAsia"/>
          <w:szCs w:val="32"/>
          <w:lang w:val="ru-RU"/>
        </w:rPr>
      </w:pPr>
      <w:r>
        <w:rPr>
          <w:rFonts w:hint="default" w:eastAsiaTheme="majorEastAsia"/>
          <w:szCs w:val="32"/>
          <w:lang w:val="ru-RU"/>
        </w:rPr>
        <w:t xml:space="preserve">    Ежемесячная экономия: 9 150 руб.</w:t>
      </w:r>
    </w:p>
    <w:p w14:paraId="1A45F1D6">
      <w:pPr>
        <w:numPr>
          <w:ilvl w:val="0"/>
          <w:numId w:val="2"/>
        </w:numPr>
        <w:spacing w:after="0" w:line="360" w:lineRule="auto"/>
        <w:ind w:left="420" w:leftChars="0" w:hanging="420" w:firstLineChars="0"/>
        <w:jc w:val="both"/>
        <w:rPr>
          <w:rFonts w:hint="default" w:eastAsiaTheme="majorEastAsia"/>
          <w:szCs w:val="32"/>
          <w:lang w:val="ru-RU"/>
        </w:rPr>
      </w:pPr>
      <w:r>
        <w:rPr>
          <w:rFonts w:hint="default" w:eastAsiaTheme="majorEastAsia"/>
          <w:szCs w:val="32"/>
          <w:lang w:val="ru-RU"/>
        </w:rPr>
        <w:t xml:space="preserve">    Срок окупаемости: 50 020 / 9 150 ≈ 5.5 месяцев</w:t>
      </w:r>
    </w:p>
    <w:p w14:paraId="25107E84">
      <w:pPr>
        <w:spacing w:after="0" w:line="360" w:lineRule="auto"/>
        <w:ind w:firstLine="709"/>
        <w:jc w:val="both"/>
        <w:rPr>
          <w:rFonts w:hint="default" w:eastAsiaTheme="majorEastAsia"/>
          <w:szCs w:val="32"/>
          <w:lang w:val="ru-RU"/>
        </w:rPr>
      </w:pPr>
      <w:r>
        <w:rPr>
          <w:rFonts w:hint="default" w:eastAsiaTheme="majorEastAsia"/>
          <w:szCs w:val="32"/>
          <w:lang w:val="ru-RU"/>
        </w:rPr>
        <w:t>Вывод: проект окупается менее чем за полгода — это хороший показатель.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D12DD"/>
    <w:multiLevelType w:val="singleLevel"/>
    <w:tmpl w:val="419D12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71AC189A"/>
    <w:multiLevelType w:val="multilevel"/>
    <w:tmpl w:val="71AC189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C75A42"/>
    <w:rsid w:val="06C7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20"/>
    </w:pPr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0" w:line="360" w:lineRule="auto"/>
      <w:ind w:firstLine="709"/>
      <w:jc w:val="both"/>
      <w:outlineLvl w:val="0"/>
    </w:pPr>
    <w:rPr>
      <w:rFonts w:eastAsiaTheme="majorEastAsia"/>
      <w:b/>
      <w:bCs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2026-04-07T00:09:00Z</dcterms:created>
  <dc:creator>WhassupDogs</dc:creator>
  <cp:lastModifiedBy>WhassupDogs</cp:lastModifiedBy>
  <dcterms:modified xsi:type="dcterms:W3CDTF">2026-04-07T00:27:47Z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0AB3E6CC0C8F46C3A71929556D33E35D_11</vt:lpwstr>
  </property>
</Properties>
</file>