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54871D">
      <w:pPr>
        <w:pStyle w:val="4"/>
        <w:jc w:val="left"/>
        <w:rPr>
          <w:rFonts w:ascii="Arial"/>
          <w:b/>
          <w:sz w:val="20"/>
        </w:rPr>
      </w:pPr>
    </w:p>
    <w:p w14:paraId="1B440F13">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29D4556B">
      <w:pPr>
        <w:pStyle w:val="3"/>
        <w:ind w:left="120" w:firstLine="0"/>
      </w:pPr>
    </w:p>
    <w:p w14:paraId="0F8CF0FD">
      <w:pPr>
        <w:pStyle w:val="3"/>
        <w:ind w:left="120" w:firstLine="0"/>
      </w:pPr>
      <w:r>
        <w:t>ABSTRACT</w:t>
      </w:r>
    </w:p>
    <w:p w14:paraId="6B1F4B7F">
      <w:pPr>
        <w:pStyle w:val="4"/>
        <w:spacing w:before="175" w:line="259" w:lineRule="auto"/>
        <w:ind w:left="128" w:right="186"/>
        <w:rPr>
          <w:rFonts w:ascii="Arial"/>
        </w:rPr>
      </w:pPr>
      <w:r>
        <w:rPr>
          <w:rFonts w:ascii="Arial"/>
          <w:b/>
        </w:rPr>
        <w:t xml:space="preserve">Background </w:t>
      </w:r>
      <w:r>
        <w:rPr>
          <w:rFonts w:ascii="Arial"/>
        </w:rPr>
        <w:t>Local therapy (surgery and/or radiotherapy) plays a critical role in the potentially curative treatment of patients with non-metastatic breast cancer. The necessity of local</w:t>
      </w:r>
      <w:r>
        <w:rPr>
          <w:rFonts w:ascii="Arial"/>
          <w:spacing w:val="-22"/>
        </w:rPr>
        <w:t xml:space="preserve"> </w:t>
      </w:r>
      <w:r>
        <w:rPr>
          <w:rFonts w:ascii="Arial"/>
        </w:rPr>
        <w:t xml:space="preserve">therapy </w:t>
      </w:r>
      <w:r>
        <w:rPr>
          <w:rFonts w:ascii="Arial"/>
          <w:spacing w:val="-3"/>
        </w:rPr>
        <w:t xml:space="preserve">for </w:t>
      </w:r>
      <w:r>
        <w:rPr>
          <w:rFonts w:ascii="Arial"/>
        </w:rPr>
        <w:t>M1 breast cancer patients remains</w:t>
      </w:r>
      <w:r>
        <w:rPr>
          <w:rFonts w:ascii="Arial"/>
          <w:spacing w:val="-6"/>
        </w:rPr>
        <w:t xml:space="preserve"> </w:t>
      </w:r>
      <w:r>
        <w:rPr>
          <w:rFonts w:ascii="Arial"/>
        </w:rPr>
        <w:t>controversial.</w:t>
      </w:r>
    </w:p>
    <w:p w14:paraId="51878279">
      <w:pPr>
        <w:pStyle w:val="4"/>
        <w:spacing w:before="174" w:line="259" w:lineRule="auto"/>
        <w:ind w:left="120" w:right="185" w:firstLine="8"/>
        <w:rPr>
          <w:rFonts w:ascii="Arial" w:hAnsi="Arial"/>
        </w:rPr>
      </w:pPr>
      <w:r>
        <w:rPr>
          <w:rFonts w:ascii="Arial" w:hAnsi="Arial"/>
          <w:b/>
        </w:rPr>
        <w:t xml:space="preserve">Methods </w:t>
      </w:r>
      <w:r>
        <w:rPr>
          <w:rFonts w:hint="eastAsia" w:ascii="Arial" w:hAnsi="Arial"/>
          <w:spacing w:val="-4"/>
        </w:rPr>
        <w:t>The study involved training and validating two survival prediction models based on machine learning: a neural network and a Cox proportional hazards model.</w:t>
      </w:r>
      <w:r>
        <w:rPr>
          <w:rFonts w:ascii="Arial" w:hAnsi="Arial"/>
        </w:rPr>
        <w:t>The training cohort comprised 10,214 patients</w:t>
      </w:r>
      <w:r>
        <w:rPr>
          <w:rFonts w:ascii="Arial" w:hAnsi="Arial"/>
          <w:spacing w:val="-12"/>
        </w:rPr>
        <w:t xml:space="preserve"> </w:t>
      </w:r>
      <w:r>
        <w:rPr>
          <w:rFonts w:ascii="Arial" w:hAnsi="Arial"/>
        </w:rPr>
        <w:t>with</w:t>
      </w:r>
      <w:r>
        <w:rPr>
          <w:rFonts w:ascii="Arial" w:hAnsi="Arial"/>
          <w:spacing w:val="-11"/>
        </w:rPr>
        <w:t xml:space="preserve"> </w:t>
      </w:r>
      <w:r>
        <w:rPr>
          <w:rFonts w:ascii="Arial" w:hAnsi="Arial"/>
        </w:rPr>
        <w:t>M1</w:t>
      </w:r>
      <w:r>
        <w:rPr>
          <w:rFonts w:ascii="Arial" w:hAnsi="Arial"/>
          <w:spacing w:val="-11"/>
        </w:rPr>
        <w:t xml:space="preserve"> </w:t>
      </w:r>
      <w:r>
        <w:rPr>
          <w:rFonts w:ascii="Arial" w:hAnsi="Arial"/>
        </w:rPr>
        <w:t>breast</w:t>
      </w:r>
      <w:r>
        <w:rPr>
          <w:rFonts w:ascii="Arial" w:hAnsi="Arial"/>
          <w:spacing w:val="-12"/>
        </w:rPr>
        <w:t xml:space="preserve"> </w:t>
      </w:r>
      <w:r>
        <w:rPr>
          <w:rFonts w:ascii="Arial" w:hAnsi="Arial"/>
        </w:rPr>
        <w:t>cancer</w:t>
      </w:r>
      <w:r>
        <w:rPr>
          <w:rFonts w:ascii="Arial" w:hAnsi="Arial"/>
          <w:spacing w:val="-11"/>
        </w:rPr>
        <w:t xml:space="preserve"> </w:t>
      </w:r>
      <w:r>
        <w:rPr>
          <w:rFonts w:ascii="Arial" w:hAnsi="Arial"/>
        </w:rPr>
        <w:t>identified</w:t>
      </w:r>
      <w:r>
        <w:rPr>
          <w:rFonts w:ascii="Arial" w:hAnsi="Arial"/>
          <w:spacing w:val="-11"/>
        </w:rPr>
        <w:t xml:space="preserve"> </w:t>
      </w:r>
      <w:r>
        <w:rPr>
          <w:rFonts w:ascii="Arial" w:hAnsi="Arial"/>
        </w:rPr>
        <w:t>from</w:t>
      </w:r>
      <w:r>
        <w:rPr>
          <w:rFonts w:ascii="Arial" w:hAnsi="Arial"/>
          <w:spacing w:val="-12"/>
        </w:rPr>
        <w:t xml:space="preserve"> </w:t>
      </w:r>
      <w:r>
        <w:rPr>
          <w:rFonts w:ascii="Arial" w:hAnsi="Arial"/>
        </w:rPr>
        <w:t>the</w:t>
      </w:r>
      <w:r>
        <w:rPr>
          <w:rFonts w:ascii="Arial" w:hAnsi="Arial"/>
          <w:spacing w:val="-11"/>
        </w:rPr>
        <w:t xml:space="preserve"> </w:t>
      </w:r>
      <w:r>
        <w:rPr>
          <w:rFonts w:ascii="Arial" w:hAnsi="Arial"/>
        </w:rPr>
        <w:t>SEER</w:t>
      </w:r>
      <w:r>
        <w:rPr>
          <w:rFonts w:ascii="Arial" w:hAnsi="Arial"/>
          <w:spacing w:val="-11"/>
        </w:rPr>
        <w:t xml:space="preserve"> </w:t>
      </w:r>
      <w:r>
        <w:rPr>
          <w:rFonts w:ascii="Arial" w:hAnsi="Arial"/>
        </w:rPr>
        <w:t>database</w:t>
      </w:r>
      <w:r>
        <w:rPr>
          <w:rFonts w:ascii="Arial" w:hAnsi="Arial"/>
          <w:spacing w:val="-11"/>
        </w:rPr>
        <w:t xml:space="preserve"> </w:t>
      </w:r>
      <w:r>
        <w:rPr>
          <w:rFonts w:ascii="Arial" w:hAnsi="Arial"/>
        </w:rPr>
        <w:t>between</w:t>
      </w:r>
      <w:r>
        <w:rPr>
          <w:rFonts w:ascii="Arial" w:hAnsi="Arial"/>
          <w:spacing w:val="-12"/>
        </w:rPr>
        <w:t xml:space="preserve"> </w:t>
      </w:r>
      <w:r>
        <w:rPr>
          <w:rFonts w:ascii="Arial" w:hAnsi="Arial"/>
        </w:rPr>
        <w:t>2013</w:t>
      </w:r>
      <w:r>
        <w:rPr>
          <w:rFonts w:ascii="Arial" w:hAnsi="Arial"/>
          <w:spacing w:val="-11"/>
        </w:rPr>
        <w:t xml:space="preserve"> </w:t>
      </w:r>
      <w:r>
        <w:rPr>
          <w:rFonts w:ascii="Arial" w:hAnsi="Arial"/>
        </w:rPr>
        <w:t>and</w:t>
      </w:r>
      <w:r>
        <w:rPr>
          <w:rFonts w:ascii="Arial" w:hAnsi="Arial"/>
          <w:spacing w:val="-11"/>
        </w:rPr>
        <w:t xml:space="preserve"> </w:t>
      </w:r>
      <w:r>
        <w:rPr>
          <w:rFonts w:ascii="Arial" w:hAnsi="Arial"/>
        </w:rPr>
        <w:t>2018.</w:t>
      </w:r>
      <w:r>
        <w:rPr>
          <w:rFonts w:ascii="Arial" w:hAnsi="Arial"/>
          <w:spacing w:val="-12"/>
        </w:rPr>
        <w:t xml:space="preserve"> </w:t>
      </w:r>
      <w:r>
        <w:rPr>
          <w:rFonts w:ascii="Arial" w:hAnsi="Arial"/>
        </w:rPr>
        <w:t>The external test cohort included 100 patients diagnosed with M1 breast cancer in China between January</w:t>
      </w:r>
      <w:r>
        <w:rPr>
          <w:rFonts w:ascii="Arial" w:hAnsi="Arial"/>
          <w:spacing w:val="-15"/>
        </w:rPr>
        <w:t xml:space="preserve"> </w:t>
      </w:r>
      <w:r>
        <w:rPr>
          <w:rFonts w:ascii="Arial" w:hAnsi="Arial"/>
        </w:rPr>
        <w:t>2013</w:t>
      </w:r>
      <w:r>
        <w:rPr>
          <w:rFonts w:ascii="Arial" w:hAnsi="Arial"/>
          <w:spacing w:val="-14"/>
        </w:rPr>
        <w:t xml:space="preserve"> </w:t>
      </w:r>
      <w:r>
        <w:rPr>
          <w:rFonts w:ascii="Arial" w:hAnsi="Arial"/>
        </w:rPr>
        <w:t>and</w:t>
      </w:r>
      <w:r>
        <w:rPr>
          <w:rFonts w:ascii="Arial" w:hAnsi="Arial"/>
          <w:spacing w:val="-14"/>
        </w:rPr>
        <w:t xml:space="preserve"> </w:t>
      </w:r>
      <w:r>
        <w:rPr>
          <w:rFonts w:ascii="Arial" w:hAnsi="Arial"/>
        </w:rPr>
        <w:t>December</w:t>
      </w:r>
      <w:r>
        <w:rPr>
          <w:rFonts w:ascii="Arial" w:hAnsi="Arial"/>
          <w:spacing w:val="-15"/>
        </w:rPr>
        <w:t xml:space="preserve"> </w:t>
      </w:r>
      <w:r>
        <w:rPr>
          <w:rFonts w:ascii="Arial" w:hAnsi="Arial"/>
        </w:rPr>
        <w:t>2018.</w:t>
      </w:r>
      <w:r>
        <w:rPr>
          <w:rFonts w:ascii="Arial" w:hAnsi="Arial"/>
          <w:spacing w:val="-14"/>
        </w:rPr>
        <w:t xml:space="preserve"> </w:t>
      </w:r>
      <w:r>
        <w:rPr>
          <w:rFonts w:ascii="Arial" w:hAnsi="Arial"/>
        </w:rPr>
        <w:t>Subgroup</w:t>
      </w:r>
      <w:r>
        <w:rPr>
          <w:rFonts w:ascii="Arial" w:hAnsi="Arial"/>
          <w:spacing w:val="-14"/>
        </w:rPr>
        <w:t xml:space="preserve"> </w:t>
      </w:r>
      <w:r>
        <w:rPr>
          <w:rFonts w:ascii="Arial" w:hAnsi="Arial"/>
        </w:rPr>
        <w:t>analyses</w:t>
      </w:r>
      <w:r>
        <w:rPr>
          <w:rFonts w:ascii="Arial" w:hAnsi="Arial"/>
          <w:spacing w:val="-14"/>
        </w:rPr>
        <w:t xml:space="preserve"> </w:t>
      </w:r>
      <w:r>
        <w:rPr>
          <w:rFonts w:ascii="Arial" w:hAnsi="Arial"/>
        </w:rPr>
        <w:t>were</w:t>
      </w:r>
      <w:r>
        <w:rPr>
          <w:rFonts w:ascii="Arial" w:hAnsi="Arial"/>
          <w:spacing w:val="-15"/>
        </w:rPr>
        <w:t xml:space="preserve"> </w:t>
      </w:r>
      <w:r>
        <w:rPr>
          <w:rFonts w:ascii="Arial" w:hAnsi="Arial"/>
        </w:rPr>
        <w:t>subsequently</w:t>
      </w:r>
      <w:r>
        <w:rPr>
          <w:rFonts w:ascii="Arial" w:hAnsi="Arial"/>
          <w:spacing w:val="-14"/>
        </w:rPr>
        <w:t xml:space="preserve"> </w:t>
      </w:r>
      <w:r>
        <w:rPr>
          <w:rFonts w:ascii="Arial" w:hAnsi="Arial"/>
        </w:rPr>
        <w:t>performed</w:t>
      </w:r>
      <w:r>
        <w:rPr>
          <w:rFonts w:ascii="Arial" w:hAnsi="Arial"/>
          <w:spacing w:val="-14"/>
        </w:rPr>
        <w:t xml:space="preserve"> </w:t>
      </w:r>
      <w:r>
        <w:rPr>
          <w:rFonts w:ascii="Arial" w:hAnsi="Arial"/>
        </w:rPr>
        <w:t>to</w:t>
      </w:r>
      <w:r>
        <w:rPr>
          <w:rFonts w:ascii="Arial" w:hAnsi="Arial"/>
          <w:spacing w:val="-14"/>
        </w:rPr>
        <w:t xml:space="preserve"> </w:t>
      </w:r>
      <w:r>
        <w:rPr>
          <w:rFonts w:ascii="Arial" w:hAnsi="Arial"/>
        </w:rPr>
        <w:t xml:space="preserve">identify patients who </w:t>
      </w:r>
      <w:r>
        <w:rPr>
          <w:rFonts w:ascii="Arial" w:hAnsi="Arial"/>
          <w:spacing w:val="-3"/>
        </w:rPr>
        <w:t xml:space="preserve">may </w:t>
      </w:r>
      <w:r>
        <w:rPr>
          <w:rFonts w:ascii="Arial" w:hAnsi="Arial"/>
        </w:rPr>
        <w:t xml:space="preserve">benefit from local </w:t>
      </w:r>
      <w:r>
        <w:rPr>
          <w:rFonts w:ascii="Arial" w:hAnsi="Arial"/>
          <w:spacing w:val="-5"/>
        </w:rPr>
        <w:t xml:space="preserve">therapy. </w:t>
      </w:r>
      <w:r>
        <w:rPr>
          <w:rFonts w:ascii="Arial" w:hAnsi="Arial"/>
        </w:rPr>
        <w:t xml:space="preserve">Global and individual feature importance analyses were conducted to interpret the survival predictions generated </w:t>
      </w:r>
      <w:r>
        <w:rPr>
          <w:rFonts w:ascii="Arial" w:hAnsi="Arial"/>
          <w:spacing w:val="-3"/>
        </w:rPr>
        <w:t xml:space="preserve">by </w:t>
      </w:r>
      <w:r>
        <w:rPr>
          <w:rFonts w:ascii="Arial" w:hAnsi="Arial"/>
        </w:rPr>
        <w:t>the</w:t>
      </w:r>
      <w:r>
        <w:rPr>
          <w:rFonts w:ascii="Arial" w:hAnsi="Arial"/>
          <w:spacing w:val="-15"/>
        </w:rPr>
        <w:t xml:space="preserve"> </w:t>
      </w:r>
      <w:r>
        <w:rPr>
          <w:rFonts w:ascii="Arial" w:hAnsi="Arial"/>
        </w:rPr>
        <w:t>models.</w:t>
      </w:r>
    </w:p>
    <w:p w14:paraId="7DDD9925">
      <w:pPr>
        <w:pStyle w:val="4"/>
        <w:spacing w:before="174" w:line="259" w:lineRule="auto"/>
        <w:ind w:left="120" w:right="185" w:firstLine="8"/>
        <w:rPr>
          <w:rFonts w:hint="default" w:ascii="Arial" w:hAnsi="Arial" w:eastAsia="宋体"/>
          <w:lang w:val="en-US" w:eastAsia="zh-CN"/>
        </w:rPr>
      </w:pPr>
      <w:r>
        <w:rPr>
          <w:rFonts w:ascii="Arial"/>
          <w:b/>
        </w:rPr>
        <w:t>Results</w:t>
      </w:r>
      <w:r>
        <w:rPr>
          <w:rFonts w:ascii="Arial"/>
          <w:b/>
          <w:spacing w:val="-23"/>
        </w:rPr>
        <w:t xml:space="preserve"> </w:t>
      </w:r>
      <w:r>
        <w:rPr>
          <w:rFonts w:hint="eastAsia" w:ascii="Arial" w:hAnsi="Arial" w:eastAsia="宋体"/>
          <w:lang w:val="en-US" w:eastAsia="zh-CN"/>
        </w:rPr>
        <w:t xml:space="preserve">In </w:t>
      </w:r>
      <w:r>
        <w:rPr>
          <w:rFonts w:hint="eastAsia" w:ascii="Arial"/>
        </w:rPr>
        <w:t>total</w:t>
      </w:r>
      <w:r>
        <w:rPr>
          <w:rFonts w:hint="eastAsia" w:ascii="Arial" w:eastAsia="宋体"/>
          <w:lang w:val="en-US" w:eastAsia="zh-CN"/>
        </w:rPr>
        <w:t>,</w:t>
      </w:r>
      <w:r>
        <w:rPr>
          <w:rFonts w:hint="eastAsia" w:ascii="Arial"/>
        </w:rPr>
        <w:t xml:space="preserve"> 10,314 patients were enrolled in the study. Surgery was associated with improved overall survival (OS) in patients with bone metastases, with 5-year OS rates of 76.9% versus 27.2% for the surgery and non-surgery groups, respectively (P = 0.035). Similarly, in patients with non–triple-negative disease, the 5-year OS rates were 84.0% versus 32.3% (P = 0.027).The deep learning network demonstrated greater stability and accuracy than the Cox proportional hazards model in predicting patient survival, both on the internal test dataset (C-index = 0.771 vs. 0.632) and in external validation (C-index = 0.782 vs. 0.650).Several important prognostic factors were identified by the deep learning model, such as</w:t>
      </w:r>
      <w:r>
        <w:rPr>
          <w:rFonts w:hint="eastAsia" w:ascii="Arial" w:eastAsia="宋体"/>
          <w:lang w:val="en-US" w:eastAsia="zh-CN"/>
        </w:rPr>
        <w:t xml:space="preserve"> </w:t>
      </w:r>
      <w:r>
        <w:rPr>
          <w:rFonts w:ascii="Arial"/>
          <w:spacing w:val="-5"/>
        </w:rPr>
        <w:t xml:space="preserve">Triple </w:t>
      </w:r>
      <w:r>
        <w:rPr>
          <w:rFonts w:ascii="Arial"/>
        </w:rPr>
        <w:t>Negative, Mets at DX-brain and</w:t>
      </w:r>
      <w:r>
        <w:rPr>
          <w:rFonts w:ascii="Arial"/>
          <w:spacing w:val="-8"/>
        </w:rPr>
        <w:t xml:space="preserve"> </w:t>
      </w:r>
      <w:r>
        <w:rPr>
          <w:rFonts w:ascii="Arial"/>
        </w:rPr>
        <w:t>HER2-positive.</w:t>
      </w:r>
    </w:p>
    <w:p w14:paraId="5DA5C5C9">
      <w:pPr>
        <w:pStyle w:val="4"/>
        <w:spacing w:before="184"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 Meanwhile,Surgery is beneficial for non-triple negative breast cancer patients.</w:t>
      </w:r>
    </w:p>
    <w:p w14:paraId="01A535FF">
      <w:pPr>
        <w:spacing w:before="257"/>
        <w:ind w:left="174" w:right="0" w:firstLine="0"/>
        <w:jc w:val="both"/>
        <w:rPr>
          <w:rFonts w:ascii="Arial"/>
          <w:b/>
          <w:sz w:val="16"/>
        </w:rPr>
      </w:pPr>
      <w:r>
        <w:rPr>
          <w:rFonts w:ascii="Arial"/>
          <w:b/>
          <w:sz w:val="16"/>
        </w:rPr>
        <w:t>Keywords: M1 breast cancer; local therapy; machine learning; triple-negative</w:t>
      </w:r>
    </w:p>
    <w:p w14:paraId="3F8448BC">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rFonts w:hint="eastAsia" w:eastAsia="宋体"/>
          <w:lang w:val="en-US" w:eastAsia="zh-CN"/>
        </w:rPr>
        <w:t xml:space="preserve"> </w:t>
      </w:r>
      <w:bookmarkStart w:id="60" w:name="_GoBack"/>
      <w:bookmarkEnd w:id="60"/>
      <w:r>
        <w:rPr>
          <w:spacing w:val="-39"/>
        </w:rPr>
        <w:t xml:space="preserve"> </w:t>
      </w:r>
      <w:r>
        <w:t>conclusion.</w:t>
      </w: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t>
      </w:r>
      <w:r>
        <w:rPr>
          <w:rFonts w:hint="eastAsia"/>
          <w:spacing w:val="-3"/>
        </w:rPr>
        <w:t>Cases were included if they met the following two criteria</w:t>
      </w:r>
      <w:r>
        <w:t>:(1)histological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rPr>
          <w:rFonts w:hint="eastAsia"/>
        </w:rPr>
        <w:t>The key outcomes measured included survival time and mortality 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w:t>
      </w:r>
      <w:r>
        <w:rPr>
          <w:rFonts w:hint="eastAsia" w:eastAsia="宋体"/>
          <w:lang w:val="en-US" w:eastAsia="zh-CN"/>
        </w:rPr>
        <w:t xml:space="preserve"> m</w:t>
      </w:r>
      <w:r>
        <w:rPr>
          <w:rFonts w:hint="eastAsia"/>
        </w:rPr>
        <w:t>odel development was conducted in Python 3.9. Implementation of the deep learning model employed PyTorch version 1.11.0, while the penalized Cox proportional hazards model was built using PySurvival version 0.1.2.The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Results"/>
      <w:bookmarkEnd w:id="11"/>
      <w:bookmarkStart w:id="12" w:name="Patient Baseline Characteristic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headerReference r:id="rId5" w:type="default"/>
          <w:footerReference r:id="rId6" w:type="default"/>
          <w:pgSz w:w="11910" w:h="16840"/>
          <w:pgMar w:top="1180" w:right="760" w:bottom="1220" w:left="780" w:header="775" w:footer="1033" w:gutter="0"/>
          <w:lnNumType w:countBy="1" w:restart="continuous"/>
          <w:pgNumType w:fmt="decimal"/>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lnNumType w:countBy="1" w:restart="continuous"/>
          <w:pgNumType w:fmt="decimal"/>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lnNumType w:countBy="1" w:restart="continuous"/>
          <w:pgNumType w:fmt="decimal"/>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rPr>
          <w:rFonts w:hint="eastAsia"/>
        </w:rPr>
        <w:t>The average influence of the top 10 neural network features on the output magnitude is shown. The x-axis represents the mean Shapley value, while the y-axis displays the names of the neural network’s input features.</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rPr>
          <w:rFonts w:hint="eastAsia"/>
        </w:rPr>
        <w:t>The individual impact of the top 8 neural network features on output magnitude is shown. The x-axis represents the Shapley value for each feature, and the y-axis indicates the names of the neural network’s input features.</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lnNumType w:countBy="1" w:restart="continuous"/>
          <w:pgNumType w:fmt="decimal"/>
          <w:cols w:space="720" w:num="1"/>
        </w:sectPr>
      </w:pPr>
    </w:p>
    <w:p w14:paraId="26CCACC8">
      <w:pPr>
        <w:pStyle w:val="4"/>
        <w:spacing w:before="3"/>
        <w:jc w:val="left"/>
        <w:rPr>
          <w:sz w:val="16"/>
        </w:rPr>
      </w:pPr>
    </w:p>
    <w:p w14:paraId="26DCDB3F">
      <w:pPr>
        <w:pStyle w:val="4"/>
        <w:spacing w:before="97" w:line="259" w:lineRule="auto"/>
        <w:ind w:left="174" w:right="106" w:firstLine="170"/>
      </w:pPr>
      <w:r>
        <w:rPr>
          <w:rFonts w:hint="eastAsia"/>
        </w:rPr>
        <w:t>With respect to individual patient feature importance</w:t>
      </w:r>
      <w:r>
        <w:t xml:space="preserve">(Figure </w:t>
      </w:r>
      <w:r>
        <w:fldChar w:fldCharType="begin"/>
      </w:r>
      <w:r>
        <w:instrText xml:space="preserve"> HYPERLINK \l "_bookmark3" </w:instrText>
      </w:r>
      <w:r>
        <w:fldChar w:fldCharType="separate"/>
      </w:r>
      <w:r>
        <w:t xml:space="preserve">3), </w:t>
      </w:r>
      <w:r>
        <w:fldChar w:fldCharType="end"/>
      </w:r>
      <w:r>
        <w:t>one</w:t>
      </w:r>
      <w:r>
        <w:rPr>
          <w:rFonts w:hint="eastAsia"/>
        </w:rPr>
        <w:t xml:space="preserve"> patient was selected at random</w:t>
      </w:r>
      <w:r>
        <w:t xml:space="preserve">(HER2- positive, female, metastasis at </w:t>
      </w:r>
      <w:r>
        <w:rPr>
          <w:spacing w:val="-4"/>
        </w:rPr>
        <w:t xml:space="preserve">liver, </w:t>
      </w:r>
      <w:r>
        <w:t>didn’t received surgery) from our testing dataset</w:t>
      </w:r>
      <w:r>
        <w:rPr>
          <w:rFonts w:hint="eastAsia" w:eastAsia="宋体"/>
          <w:lang w:val="en-US" w:eastAsia="zh-CN"/>
        </w:rPr>
        <w:t xml:space="preserve"> </w:t>
      </w:r>
      <w:r>
        <w:rPr>
          <w:rFonts w:hint="eastAsia"/>
        </w:rPr>
        <w:t>to demonstrate how the model starts with an initial log-partial hazard of zero</w:t>
      </w:r>
      <w:r>
        <w:rPr>
          <w:rFonts w:hint="eastAsia" w:eastAsia="宋体"/>
          <w:lang w:val="en-US" w:eastAsia="zh-CN"/>
        </w:rPr>
        <w:t>,</w:t>
      </w:r>
      <w:r>
        <w:rPr>
          <w:spacing w:val="-11"/>
        </w:rPr>
        <w:t xml:space="preserve"> </w:t>
      </w:r>
      <w:r>
        <w:rPr>
          <w:rFonts w:hint="eastAsia"/>
          <w:spacing w:val="-11"/>
        </w:rPr>
        <w:t>reflecting no prior knowledge about the patient, and subsequently predicts the patient’s outcome</w:t>
      </w:r>
      <w:r>
        <w:t xml:space="preserve">.(0.493). </w:t>
      </w:r>
      <w:r>
        <w:rPr>
          <w:rFonts w:hint="eastAsia"/>
        </w:rPr>
        <w:t>Initially, the combined effect of the 144 insignificant features raises the log hazard risk by 0.14</w:t>
      </w:r>
      <w:r>
        <w:t>.</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 xml:space="preserve">The different sites for metastasis may </w:t>
      </w:r>
      <w:r>
        <w:rPr>
          <w:rFonts w:hint="eastAsia"/>
        </w:rPr>
        <w:t xml:space="preserve"> result in</w:t>
      </w:r>
      <w:r>
        <w:t xml:space="preserve">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xml:space="preserve">), </w:t>
      </w:r>
      <w:r>
        <w:rPr>
          <w:rFonts w:hint="eastAsia"/>
        </w:rPr>
        <w:t>Consequently, OS was compared</w:t>
      </w:r>
      <w:r>
        <w:t xml:space="preserve">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rPr>
          <w:rFonts w:hint="eastAsia"/>
          <w:spacing w:val="-3"/>
        </w:rPr>
        <w:t>has a higher overall survival rate than 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w:t>
      </w:r>
      <w:r>
        <w:rPr>
          <w:rFonts w:hint="eastAsia" w:eastAsia="宋体"/>
          <w:lang w:val="en-US" w:eastAsia="zh-CN"/>
        </w:rPr>
        <w:t xml:space="preserve"> </w:t>
      </w:r>
      <w:r>
        <w:t>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 xml:space="preserve">and </w:t>
      </w:r>
      <w:r>
        <w:rPr>
          <w:rFonts w:hint="eastAsia" w:eastAsia="宋体"/>
          <w:lang w:val="en-US" w:eastAsia="zh-CN"/>
        </w:rPr>
        <w:t>s</w:t>
      </w:r>
      <w:r>
        <w:rPr>
          <w:rFonts w:hint="eastAsia"/>
        </w:rPr>
        <w:t>urvival did not differ significantly among the entire patient cohort.</w:t>
      </w:r>
      <w:r>
        <w:t xml:space="preserve">. On the contrary, For non-triple-negative patients, </w:t>
      </w:r>
      <w:r>
        <w:rPr>
          <w:rFonts w:hint="eastAsia" w:eastAsia="宋体"/>
          <w:lang w:val="en-US" w:eastAsia="zh-CN"/>
        </w:rPr>
        <w:t>t</w:t>
      </w:r>
      <w:r>
        <w:rPr>
          <w:rFonts w:hint="eastAsia"/>
        </w:rPr>
        <w:t>here is a considerable difference between</w:t>
      </w:r>
      <w:r>
        <w:t xml:space="preserve">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lnNumType w:countBy="1" w:restart="continuous"/>
          <w:pgNumType w:fmt="decimal"/>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avoid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rPr>
        <w:t>This study sought to resolve the ongoing debate</w:t>
      </w:r>
      <w:r>
        <w:rPr>
          <w:rFonts w:hint="eastAsia" w:eastAsia="宋体"/>
          <w:lang w:val="en-US" w:eastAsia="zh-CN"/>
        </w:rPr>
        <w:t xml:space="preserv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deep learning model with high accuracy, we also integrated a module for explainability that reveals how the model’s predictions are influenced by the relative significance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57F14117">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rFonts w:hint="eastAsia" w:eastAsia="宋体"/>
          <w:lang w:val="en-US" w:eastAsia="zh-CN"/>
        </w:rPr>
        <w:t xml:space="preserve"> b</w:t>
      </w:r>
      <w:r>
        <w:rPr>
          <w:rFonts w:hint="eastAsia"/>
        </w:rPr>
        <w:t>reast cancer subtype is also a critical factor</w:t>
      </w:r>
      <w:r>
        <w:t>.</w:t>
      </w:r>
      <w:r>
        <w:rPr>
          <w:spacing w:val="-8"/>
        </w:rPr>
        <w:t xml:space="preserve"> </w:t>
      </w:r>
      <w:r>
        <w:rPr>
          <w:rFonts w:hint="eastAsia"/>
          <w:spacing w:val="-8"/>
        </w:rPr>
        <w:t>Prior research has repeatedly confirmed</w:t>
      </w:r>
      <w:r>
        <w:rPr>
          <w:rFonts w:hint="eastAsia" w:eastAsia="宋体"/>
          <w:spacing w:val="-8"/>
          <w:lang w:val="en-US" w:eastAsia="zh-CN"/>
        </w:rPr>
        <w:t xml:space="preserve"> </w:t>
      </w:r>
      <w:r>
        <w:t>that</w:t>
      </w:r>
      <w:r>
        <w:rPr>
          <w:spacing w:val="-8"/>
        </w:rPr>
        <w:t xml:space="preserve"> </w:t>
      </w:r>
      <w:r>
        <w:t>Breast</w:t>
      </w:r>
      <w:r>
        <w:rPr>
          <w:spacing w:val="-7"/>
        </w:rPr>
        <w:t xml:space="preserve"> </w:t>
      </w:r>
      <w:r>
        <w:t>subtypes</w:t>
      </w:r>
    </w:p>
    <w:p w14:paraId="11F6D7B7">
      <w:pPr>
        <w:spacing w:after="0" w:line="259" w:lineRule="auto"/>
        <w:sectPr>
          <w:pgSz w:w="11910" w:h="16840"/>
          <w:pgMar w:top="1180" w:right="760" w:bottom="1220" w:left="780" w:header="775" w:footer="1033" w:gutter="0"/>
          <w:lnNumType w:countBy="1" w:restart="continuous"/>
          <w:pgNumType w:fmt="decimal"/>
          <w:cols w:space="720" w:num="1"/>
        </w:sectPr>
      </w:pPr>
    </w:p>
    <w:p w14:paraId="409759F2">
      <w:pPr>
        <w:pStyle w:val="4"/>
        <w:spacing w:before="3"/>
        <w:jc w:val="left"/>
        <w:rPr>
          <w:sz w:val="16"/>
        </w:rPr>
      </w:pPr>
    </w:p>
    <w:p w14:paraId="2D14148C">
      <w:pPr>
        <w:pStyle w:val="4"/>
        <w:spacing w:before="191" w:line="259" w:lineRule="auto"/>
        <w:ind w:left="120" w:right="184" w:firstLine="178"/>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 xml:space="preserve">).By contrast, </w:t>
      </w:r>
      <w:r>
        <w:rPr>
          <w:rFonts w:hint="eastAsia"/>
        </w:rPr>
        <w:t>Compared to these four features, other clinical characteristics investigated were not found to be significantly important.</w:t>
      </w:r>
      <w:r>
        <w:t xml:space="preserve"> </w:t>
      </w: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lnNumType w:countBy="1" w:restart="continuous"/>
          <w:pgNumType w:fmt="decimal"/>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lnNumType w:countBy="1" w:restart="continuous"/>
          <w:pgNumType w:fmt="decimal"/>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lnNumType w:countBy="1" w:restart="continuous"/>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top:0pt;height:15.8pt;width:20.5pt;mso-position-horizontal:center;mso-position-horizontal-relative:margin;z-index:251664384;mso-width-relative:page;mso-height-relative:page;" filled="f" stroked="f" coordsize="21600,21600">
          <v:path/>
          <v:fill on="f" focussize="0,0"/>
          <v:stroke on="f"/>
          <v:imagedata o:title=""/>
          <o:lock v:ext="edit" aspectratio="f"/>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00D3478"/>
    <w:rsid w:val="016F4A91"/>
    <w:rsid w:val="03564FBC"/>
    <w:rsid w:val="054B2AF5"/>
    <w:rsid w:val="0958005D"/>
    <w:rsid w:val="118D2620"/>
    <w:rsid w:val="1428562E"/>
    <w:rsid w:val="147123E2"/>
    <w:rsid w:val="16832A38"/>
    <w:rsid w:val="176D6C21"/>
    <w:rsid w:val="17B24116"/>
    <w:rsid w:val="1A3146DE"/>
    <w:rsid w:val="1E5A5E4F"/>
    <w:rsid w:val="1EA00084"/>
    <w:rsid w:val="263A29B5"/>
    <w:rsid w:val="2F775B8A"/>
    <w:rsid w:val="30784C36"/>
    <w:rsid w:val="32BE2789"/>
    <w:rsid w:val="341868E0"/>
    <w:rsid w:val="34F85173"/>
    <w:rsid w:val="36740AF7"/>
    <w:rsid w:val="3785416A"/>
    <w:rsid w:val="3DFB09DB"/>
    <w:rsid w:val="3F3F6DE8"/>
    <w:rsid w:val="41B24535"/>
    <w:rsid w:val="43541621"/>
    <w:rsid w:val="445C1CEB"/>
    <w:rsid w:val="473D7394"/>
    <w:rsid w:val="48954CDB"/>
    <w:rsid w:val="49AE0344"/>
    <w:rsid w:val="4B947B67"/>
    <w:rsid w:val="525D0267"/>
    <w:rsid w:val="5516017D"/>
    <w:rsid w:val="59BD234E"/>
    <w:rsid w:val="5C0478C7"/>
    <w:rsid w:val="61F40B58"/>
    <w:rsid w:val="65303189"/>
    <w:rsid w:val="6C3B3BC2"/>
    <w:rsid w:val="70843FC6"/>
    <w:rsid w:val="73AC5D9C"/>
    <w:rsid w:val="74313D41"/>
    <w:rsid w:val="74DF7409"/>
    <w:rsid w:val="762D3D39"/>
    <w:rsid w:val="790F61C2"/>
    <w:rsid w:val="7B593CC6"/>
    <w:rsid w:val="7C151F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3130</Words>
  <Characters>18507</Characters>
  <TotalTime>14</TotalTime>
  <ScaleCrop>false</ScaleCrop>
  <LinksUpToDate>false</LinksUpToDate>
  <CharactersWithSpaces>21505</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2025-08-13T02:04:46Z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2052-12.1.0.22215</vt:lpwstr>
  </property>
  <property fmtid="{D5CDD505-2E9C-101B-9397-08002B2CF9AE}" pid="7" name="ICV">
    <vt:lpwstr>CC0A4F3958824C9B9A076B35082C49F7_12</vt:lpwstr>
  </property>
</Properties>
</file>