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nm0zqef32n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Лабораторная работа #4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построить модели регрессии и классификации на основе машины опорных векторов (SVM).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Инструменты:</w:t>
      </w:r>
      <w:r w:rsidDel="00000000" w:rsidR="00000000" w:rsidRPr="00000000">
        <w:rPr>
          <w:rtl w:val="0"/>
        </w:rPr>
        <w:t xml:space="preserve"> SVM-модели регрессии (NuSVR) и классификации (NuSVC) из пакета scikit-learn.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предложенных датасетов (один для классификации, другой для регрессии) построить соответствующие модели. Для этого: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Воспользоваться результатами Лабораторной работы #1 по препроцессингу данных.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Разбить данные на обучающую и тестовую выборки (например, в соотношении 80/20).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Построить регрессор и классификатор при различных наборов гиперпараметров (выбрать самостоятельно).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Обучить модели на обучающих частях выборки.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Провести сравнительную оценку качества моделей на основе тестовой выборки. Критерии сравнения определяются самостоятельно.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hybec7l8op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References: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🔗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NuSVC — scikit-learn 1.5.2 documentation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🔗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NuSVR — scikit-learn 1.5.2 documentation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1.5/modules/generated/sklearn.svm.NuSVC.html#sklearn.svm.NuSVC" TargetMode="External"/><Relationship Id="rId7" Type="http://schemas.openxmlformats.org/officeDocument/2006/relationships/hyperlink" Target="https://scikit-learn.org/1.5/modules/generated/sklearn.svm.NuSVR.html#sklearn.svm.NuSV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