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НАУКИ И ВЫСШЕГО ОБРАЗОВАНИЯ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РОССИЙСКОЙ ФЕДЕРАЦИИ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ИТМО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систем управления и робототехники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ОТЧ</w:t>
      </w:r>
      <w:r>
        <w:rPr>
          <w:rFonts w:ascii="Times New Roman" w:hAnsi="Times New Roman"/>
          <w:b/>
          <w:bCs/>
          <w:sz w:val="32"/>
          <w:szCs w:val="32"/>
        </w:rPr>
        <w:t xml:space="preserve">Е</w:t>
      </w:r>
      <w:r>
        <w:rPr>
          <w:rFonts w:ascii="Times New Roman" w:hAnsi="Times New Roman"/>
          <w:b/>
          <w:bCs/>
          <w:sz w:val="32"/>
          <w:szCs w:val="32"/>
        </w:rPr>
        <w:t xml:space="preserve">Т 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 лабораторной работе № </w:t>
      </w:r>
      <w:r>
        <w:rPr>
          <w:rFonts w:ascii="Times New Roman" w:hAnsi="Times New Roman"/>
          <w:b/>
          <w:bCs/>
          <w:sz w:val="32"/>
          <w:szCs w:val="32"/>
        </w:rPr>
        <w:t xml:space="preserve">1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дисциплине</w:t>
        <w:br/>
        <w:t xml:space="preserve">«Метрология, обеспечение качества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сертификация»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Тема: Оценка погрешности на основании 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проведения </w:t>
      </w:r>
      <w:r>
        <w:rPr>
          <w:rFonts w:ascii="Times New Roman" w:hAnsi="Times New Roman"/>
          <w:b/>
          <w:bCs/>
          <w:sz w:val="32"/>
          <w:szCs w:val="32"/>
        </w:rPr>
        <w:t xml:space="preserve">прямых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измерений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Раб</w:t>
      </w:r>
      <w:r>
        <w:rPr>
          <w:rFonts w:ascii="Times New Roman" w:hAnsi="Times New Roman"/>
          <w:sz w:val="28"/>
          <w:szCs w:val="28"/>
        </w:rPr>
        <w:t xml:space="preserve">оту выполнил: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Овчинников П.А., R3341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Рассадина Анна Александровна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к.т.н., тьютор </w:t>
      </w:r>
      <w:r>
        <w:rPr>
          <w:rFonts w:ascii="Times New Roman" w:hAnsi="Times New Roman"/>
          <w:sz w:val="28"/>
          <w:szCs w:val="28"/>
        </w:rPr>
        <w:t xml:space="preserve">ФСУиР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908"/>
        <w:pBdr/>
        <w:spacing/>
        <w:ind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Санкт-</w:t>
      </w:r>
      <w:r>
        <w:rPr>
          <w:rFonts w:ascii="Times New Roman" w:hAnsi="Times New Roman"/>
          <w:sz w:val="28"/>
          <w:szCs w:val="28"/>
        </w:rPr>
        <w:t xml:space="preserve">Петербург</w:t>
      </w:r>
      <w:r>
        <w:rPr>
          <w:rFonts w:ascii="Times New Roman" w:hAnsi="Times New Roman"/>
          <w:sz w:val="28"/>
          <w:szCs w:val="28"/>
        </w:rPr>
        <w:br/>
        <w:t xml:space="preserve">202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Проток</w:t>
      </w:r>
      <w:r>
        <w:t xml:space="preserve">ол наблю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дений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2983" cy="744332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161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92982" cy="7443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8.27pt;height:586.0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after="0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Цель работы: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Научиться измерению длины при помощи штангенциркуля;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numPr>
          <w:ilvl w:val="0"/>
          <w:numId w:val="3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Научиться оценке погрешности многократных прямых измерений.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Объект исследования:</w:t>
      </w:r>
      <w:r>
        <w:rPr>
          <w:rFonts w:ascii="Times New Roman" w:hAnsi="Times New Roman"/>
          <w:sz w:val="24"/>
          <w:szCs w:val="24"/>
          <w:highlight w:val="none"/>
        </w:rPr>
        <w:t xml:space="preserve"> металлическая пластина.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/>
      </w:pPr>
      <w:r/>
      <w:r/>
    </w:p>
    <w:p>
      <w:pPr>
        <w:pStyle w:val="908"/>
        <w:pBdr/>
        <w:spacing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Задачи: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Провести многократные прямые измерения одной из сторон пластины при помощи штангенциркуля;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Определить погрешность искомой величины;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  <w:t xml:space="preserve">Записать округлённый результат.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Использованные приборы: 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r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Bdr/>
        <w:spacing w:after="0" w:line="240" w:lineRule="auto"/>
        <w:ind w:firstLine="708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Штангенциркуль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,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металлическая пластина</w:t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color w:val="auto"/>
          <w:sz w:val="24"/>
          <w:szCs w:val="24"/>
          <w:lang w:eastAsia="ru-RU"/>
        </w:rPr>
      </w:pPr>
      <w:r>
        <w:rPr>
          <w:rFonts w:ascii="Times New Roman" w:hAnsi="Times New Roman"/>
          <w:color w:val="auto"/>
          <w:sz w:val="24"/>
          <w:szCs w:val="24"/>
          <w:lang w:eastAsia="ru-RU"/>
        </w:rPr>
      </w:r>
      <w:r>
        <w:rPr>
          <w:rFonts w:ascii="Times New Roman" w:hAnsi="Times New Roman"/>
          <w:color w:val="auto"/>
          <w:sz w:val="24"/>
          <w:szCs w:val="24"/>
          <w:lang w:eastAsia="ru-RU"/>
        </w:rPr>
      </w:r>
      <w:r>
        <w:rPr>
          <w:rFonts w:ascii="Times New Roman" w:hAnsi="Times New Roman"/>
          <w:color w:val="auto"/>
          <w:sz w:val="24"/>
          <w:szCs w:val="24"/>
          <w:lang w:eastAsia="ru-RU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2307"/>
        <w:gridCol w:w="2307"/>
        <w:gridCol w:w="2307"/>
      </w:tblGrid>
      <w:tr>
        <w:trPr>
          <w:trHeight w:val="278"/>
        </w:trPr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  <w:t xml:space="preserve">Основная шкала, мм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  <w:t xml:space="preserve">Шкала нониуса, мм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  <w:t xml:space="preserve">Результат, мм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0.8000</w:t>
            </w:r>
            <w:r/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  <w:t xml:space="preserve">0.0800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0.88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0.8000</w:t>
            </w:r>
            <w:r/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0.0800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0.88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253"/>
        </w:trPr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0.8000</w:t>
            </w:r>
            <w:r/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0.0900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0.89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0.8000</w:t>
            </w:r>
            <w:r/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0.0800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0.88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0.8000</w:t>
            </w:r>
            <w:r/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0.0800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23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false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0.88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00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b/>
          <w:bCs/>
          <w:color w:val="auto"/>
          <w:sz w:val="24"/>
          <w:szCs w:val="24"/>
          <w:highlight w:val="none"/>
          <w:lang w:eastAsia="ru-RU"/>
        </w:rPr>
        <w:t xml:space="preserve">Таблица 1. Результаты прямых многократных измерений</w:t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p>
      <w:pPr>
        <w:pBdr/>
        <w:spacing w:after="0" w:line="240" w:lineRule="auto"/>
        <w:ind w:firstLine="0"/>
        <w:contextualSpacing w:val="false"/>
        <w:jc w:val="both"/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  <w:r>
        <w:rPr>
          <w:rFonts w:ascii="Times New Roman" w:hAnsi="Times New Roman"/>
          <w:color w:val="000000"/>
          <w:sz w:val="24"/>
          <w:szCs w:val="24"/>
          <w:highlight w:val="none"/>
          <w:lang w:eastAsia="ru-RU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Ход работы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08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Вычисляем среднее арифметическое результатов измерений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acc>
            <m:accPr>
              <m:chr m:val="̅"/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4"/>
                  <w:szCs w:val="24"/>
                  <w:highlight w:val="none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x</m:t>
              </m:r>
            </m:e>
          </m:acc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n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 </m:t>
          </m:r>
          <m:nary>
            <m:naryPr>
              <m:chr m:val="∑"/>
              <m:grow m:val="off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i=1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i</m:t>
                  </m:r>
                </m:sub>
              </m:sSub>
            </m:e>
          </m:nary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5</m:t>
              </m:r>
            </m:den>
          </m:f>
          <m:d>
            <m:d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0.8800+0.8800+0.8900+0.8800+0.8800</m:t>
              </m:r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=0.8820 (мм)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Рассчитываем среднее квадратическое отклонение S группы, содержащей n результатов измерений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142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="Cambria Math" w:cs="Cambria Math" w:eastAsiaTheme="minorEastAsia"/>
                  <w:sz w:val="24"/>
                  <w:szCs w:val="24"/>
                </w:rPr>
                <m:rPr/>
                <m:t>S</m:t>
              </m:r>
            </m:e>
            <m:sub>
              <m:r>
                <w:rPr>
                  <w:rFonts w:ascii="Cambria Math" w:hAnsi="Cambria Math" w:eastAsia="Cambria Math" w:cs="Cambria Math" w:eastAsiaTheme="minorEastAsia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eastAsia="Cambria Math" w:cs="Cambria Math" w:eastAsiaTheme="minorEastAsia"/>
              <w:sz w:val="24"/>
              <w:szCs w:val="24"/>
            </w:rPr>
            <m:rPr/>
            <m:t>= </m:t>
          </m:r>
          <m:rad>
            <m:radPr>
              <m:degHide m:val="on"/>
              <m:ctrlPr>
                <w:rPr>
                  <w:rFonts w:ascii="Cambria Math" w:hAnsi="Cambria Math" w:cs="Cambria Math" w:eastAsiaTheme="minorEastAsia"/>
                  <w:i/>
                  <w:iCs/>
                  <w:sz w:val="24"/>
                  <w:szCs w:val="28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f>
                <m:fPr>
                  <m:ctrlPr>
                    <w:rPr>
                      <w:rFonts w:ascii="Cambria Math" w:hAnsi="Cambria Math" w:cs="Cambria Math" w:eastAsiaTheme="minorEastAsia"/>
                      <w:i/>
                      <w:iCs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 w:eastAsiaTheme="minorEastAsia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 w:eastAsia="Cambria Math" w:cs="Cambria Math" w:eastAsiaTheme="minorEastAsia"/>
                      <w:sz w:val="24"/>
                      <w:szCs w:val="24"/>
                    </w:rPr>
                    <m:rPr/>
                    <m:t>n-1</m:t>
                  </m:r>
                </m:den>
              </m:f>
              <m:nary>
                <m:naryPr>
                  <m:chr m:val="∑"/>
                  <m:grow m:val="off"/>
                  <m:ctrlPr>
                    <w:rPr>
                      <w:rFonts w:ascii="Cambria Math" w:hAnsi="Cambria Math" w:cs="Cambria Math" w:eastAsiaTheme="minorEastAsia"/>
                      <w:i/>
                      <w:iCs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eastAsia="Cambria Math" w:cs="Cambria Math" w:eastAsiaTheme="minorEastAsia"/>
                      <w:sz w:val="24"/>
                      <w:szCs w:val="24"/>
                    </w:rPr>
                    <m:rPr/>
                    <m:t>i=1</m:t>
                  </m:r>
                </m:sub>
                <m:sup>
                  <m:r>
                    <w:rPr>
                      <w:rFonts w:ascii="Cambria Math" w:hAnsi="Cambria Math" w:eastAsia="Cambria Math" w:cs="Cambria Math" w:eastAsiaTheme="minorEastAsia"/>
                      <w:sz w:val="24"/>
                      <w:szCs w:val="24"/>
                    </w:rPr>
                    <m:rPr/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 w:eastAsiaTheme="minorEastAsia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cs="Cambria Math" w:eastAsiaTheme="minorEastAsia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Theme="minorEastAsia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 w:eastAsiaTheme="minorEastAsia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 w:eastAsiaTheme="minorEastAsia"/>
                                  <w:sz w:val="24"/>
                                  <w:szCs w:val="24"/>
                                </w:rPr>
                                <m:rPr/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 w:eastAsiaTheme="minorEastAsia"/>
                              <w:sz w:val="24"/>
                              <w:szCs w:val="24"/>
                            </w:rPr>
                            <m:rPr/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 w:eastAsiaTheme="minorEastAsia"/>
                                  <w:i/>
                                  <w:iCs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eastAsia="Cambria Math" w:cs="Cambria Math" w:eastAsiaTheme="minorEastAsia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eastAsia="Cambria Math" w:cs="Cambria Math" w:eastAsiaTheme="minorEastAsia"/>
                          <w:sz w:val="24"/>
                          <w:szCs w:val="24"/>
                        </w:rPr>
                        <m:rPr/>
                        <m:t>2</m:t>
                      </m:r>
                    </m:sup>
                  </m:sSup>
                </m:e>
              </m:nary>
            </m:e>
          </m:rad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eastAsia="Cambria Math" w:cs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f>
                <m:f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4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4"/>
                              <w:szCs w:val="24"/>
                            </w:rPr>
                            <m:rPr/>
                            <m:t>4∙</m:t>
                          </m:r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hAnsi="Cambria Math" w:eastAsia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4"/>
                                  <w:szCs w:val="24"/>
                                </w:rPr>
                                <m:rPr/>
                                <m:t>0.8800-0.8820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p>
                  </m:s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4"/>
                              <w:szCs w:val="24"/>
                            </w:rPr>
                            <m:rPr/>
                            <m:t>0.8900-0.8820</m:t>
                          </m:r>
                        </m:e>
                      </m:d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p>
                  </m:sSup>
                </m:e>
              </m:d>
            </m:e>
          </m:rad>
          <m:r>
            <w:rPr>
              <w:rFonts w:hint="default" w:ascii="Cambria Math" w:hAnsi="Cambria Math" w:eastAsia="Cambria Math" w:cs="Cambria Math"/>
              <w:sz w:val="24"/>
              <w:szCs w:val="24"/>
            </w:rPr>
            <m:rPr/>
            <m:t>=0.0045 (мм)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Рассчитаем среднеквадратическое отклонение среднего арифметического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Cambria Math" w:eastAsiaTheme="minorEastAsia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rPr/>
                    <m:t>x</m:t>
                  </m:r>
                </m:e>
              </m:acc>
            </m:sub>
          </m:sSub>
          <m:r>
            <w:rPr>
              <w:rFonts w:ascii="Cambria Math" w:hAnsi="Cambria Math" w:eastAsiaTheme="minorEastAsia"/>
            </w:rPr>
            <m:rPr/>
            <m:t>= 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 w:eastAsiaTheme="minorEastAsia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 w:eastAsia="Cambria Math" w:cs="Cambria Math" w:eastAsiaTheme="minorEastAsia"/>
                    </w:rPr>
                    <m:rPr/>
                    <m:t>x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 w:eastAsiaTheme="minorEastAsia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deg>
                <m:e>
                  <m:r>
                    <w:rPr>
                      <w:rFonts w:ascii="Cambria Math" w:hAnsi="Cambria Math" w:eastAsiaTheme="minorEastAsia"/>
                    </w:rPr>
                    <m:rPr/>
                    <m:t>n</m:t>
                  </m:r>
                </m:e>
              </m:rad>
            </m:den>
          </m:f>
          <m:r>
            <w:rPr>
              <w:rFonts w:ascii="Cambria Math" w:hAnsi="Cambria Math" w:eastAsiaTheme="minorEastAsia"/>
            </w:rPr>
            <m:rPr/>
            <m:t>= </m:t>
          </m:r>
          <m:f>
            <m:fPr>
              <m:ctrlPr>
                <w:rPr>
                  <w:rFonts w:ascii="Cambria Math" w:hAnsi="Cambria Math" w:cs="Cambria Math" w:eastAsiaTheme="minorEastAsia"/>
                  <w:i/>
                  <w:iCs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0.0045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Cambria Math" w:eastAsiaTheme="minorEastAsia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 w:eastAsia="Cambria Math" w:cs="Cambria Math"/>
                    </w:rPr>
                    <m:rPr/>
                    <m:t/>
                  </m:r>
                </m:deg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5</m:t>
                  </m:r>
                </m:e>
              </m:rad>
            </m:den>
          </m:f>
          <m:r>
            <w:rPr>
              <w:rFonts w:ascii="Cambria Math" w:hAnsi="Cambria Math" w:eastAsiaTheme="minorEastAsia"/>
            </w:rPr>
            <m:rPr/>
            <m:t>=</m:t>
          </m:r>
          <m:r>
            <w:rPr>
              <w:rFonts w:hint="default" w:ascii="Cambria Math" w:hAnsi="Cambria Math" w:eastAsia="Cambria Math" w:cs="Cambria Math"/>
            </w:rPr>
            <m:rPr/>
            <m:t>0.0201 (мм)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Перейдём к исключению грубых погрешностей. Для этого вычислим критерии Граббса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G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1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и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G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2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G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|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x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max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-</m:t>
              </m:r>
              <m:acc>
                <m:accPr>
                  <m:chr m:val="̅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highlight w:val="none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x</m:t>
                  </m:r>
                </m:e>
              </m:acc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|0.8900-0.8820|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0.0045</m:t>
              </m:r>
            </m:den>
          </m:f>
          <m:r>
            <w:rPr>
              <w:rFonts w:hint="default"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/>
                <m:t>0.0080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0.0045</m:t>
              </m:r>
            </m:den>
          </m:f>
          <m:r>
            <w:rPr>
              <w:rFonts w:hint="default" w:ascii="Cambria Math" w:hAnsi="Cambria Math" w:eastAsia="Cambria Math" w:cs="Cambria Math"/>
            </w:rPr>
            <m:rPr/>
            <m:t>=</m:t>
          </m:r>
          <m:r>
            <w:rPr>
              <w:rFonts w:hint="default" w:ascii="Cambria Math" w:hAnsi="Cambria Math" w:eastAsia="Cambria Math" w:cs="Cambria Math"/>
            </w:rPr>
            <m:rPr/>
            <m:t>1.7778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G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  <w:highlight w:val="none"/>
                        </w:rPr>
                      </m:ctrlPr>
                    </m:acc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x</m:t>
                      </m:r>
                    </m:e>
                  </m:acc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/>
                        <m:t>min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|0.8820-0.8000|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0.0045</m:t>
              </m:r>
            </m:den>
          </m:f>
          <m:r>
            <w:rPr>
              <w:rFonts w:hint="default"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/>
                <m:t>0.0020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0.0045</m:t>
              </m:r>
            </m:den>
          </m:f>
          <m:r>
            <w:rPr>
              <w:rFonts w:hint="default" w:ascii="Cambria Math" w:hAnsi="Cambria Math" w:eastAsia="Cambria Math" w:cs="Cambria Math"/>
            </w:rPr>
            <m:rPr/>
            <m:t>=</m:t>
          </m:r>
          <m:r>
            <w:rPr>
              <w:rFonts w:hint="default" w:ascii="Cambria Math" w:hAnsi="Cambria Math" w:eastAsia="Cambria Math" w:cs="Cambria Math"/>
            </w:rPr>
            <m:rPr/>
            <m:t>0.4444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Подберём по таблице А.1 теоретическое значение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G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T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для критерия Граббса при уровне значимости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q=5%</m:t>
        </m:r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и количестве измерений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n=5</m:t>
        </m:r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— таким образом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G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T</m:t>
            </m:r>
          </m:sub>
        </m:sSub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/>
          <m:t>=1.7150</m:t>
        </m:r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G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1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&gt;G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T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G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2</m:t>
              </m:r>
            </m:sub>
          </m:sSub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&lt;G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T</m:t>
              </m:r>
            </m:sub>
          </m:sSub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Таким образом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min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не считается выбросом, а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max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— считается. Следовательно, исключим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max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из выборки как маловероятное значение. 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Найдём доверительные границы случайной погрешности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264" w:lineRule="auto"/>
        <w:ind w:right="0"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Для нахождения доверительного интервала воспользуемся коэффициентом Стьюдента, количество измерений — 5 и доверительная вероятность 95%. Тогда 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PN</m:t>
            </m:r>
          </m:sub>
        </m:sSub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/>
          <m:t>=2.7760</m:t>
        </m:r>
      </m:oMath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line="264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ε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highlight w:val="none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x</m:t>
                  </m:r>
                </m:e>
              </m:acc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⋅</m:t>
          </m:r>
          <m:sSub>
            <m:sSub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t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PN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=0.0201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⋅2.7760=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0.0558 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мм</m:t>
              </m:r>
            </m:e>
          </m:d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Учтём систематическую погрешность, связанную с прибором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θ=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0.1000 (мм)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Теперь найдём полную абсолютную погрешность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 прямого измерения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Δ</m:t>
          </m:r>
          <m:acc>
            <m:accPr>
              <m:chr m:val="̅"/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x</m:t>
              </m:r>
            </m:e>
          </m:acc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=</m:t>
          </m:r>
          <m:rad>
            <m:radPr>
              <m:degHide m:val="on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ε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θ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2</m:t>
                  </m:r>
                </m:sup>
              </m:sSup>
            </m:e>
          </m:ra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=</m:t>
          </m:r>
          <m:rad>
            <m:radPr>
              <m:degHide m:val="on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radPr>
            <m:deg>
              <m:r>
                <w:rPr>
                  <w:rFonts w:ascii="Cambria Math" w:hAnsi="Cambria Math" w:eastAsia="Cambria Math" w:cs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0.0558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0.1000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2</m:t>
                  </m:r>
                </m:sup>
              </m:sSup>
            </m:e>
          </m:ra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0.1145 (мм)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line="312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Проверим себя и вычислим процент отклонения от средне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го измерений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line="264" w:lineRule="auto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δx=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Δ</m:t>
              </m:r>
              <m:acc>
                <m:accPr>
                  <m:chr m:val="̅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highlight w:val="none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x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highlight w:val="none"/>
                    </w:rPr>
                  </m:ctrlPr>
                </m:acc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x</m:t>
                  </m:r>
                </m:e>
              </m:acc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⋅100%=</m:t>
          </m:r>
          <m:f>
            <m:fPr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0.1145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0.8820</m:t>
              </m:r>
            </m:den>
          </m:f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⋅100%=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12.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9819%</m:t>
          </m:r>
        </m:oMath>
      </m:oMathPara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pBdr/>
        <w:spacing w:after="57" w:afterAutospacing="0"/>
        <w:ind w:firstLine="0" w:left="0"/>
        <w:jc w:val="both"/>
        <w:rPr>
          <w:rFonts w:ascii="Times New Roman" w:hAnsi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</w:p>
    <w:p>
      <w:pPr>
        <w:pStyle w:val="908"/>
        <w:numPr>
          <w:ilvl w:val="0"/>
          <w:numId w:val="8"/>
        </w:numPr>
        <w:pBdr/>
        <w:spacing w:after="57" w:afterAutospacing="0"/>
        <w:ind/>
        <w:jc w:val="both"/>
        <w:rPr/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  <w:t xml:space="preserve">Получаем результат прямого измерения и округляем его</w:t>
      </w: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w:r/>
    </w:p>
    <w:p>
      <w:pPr>
        <w:pStyle w:val="908"/>
        <w:pBdr/>
        <w:spacing w:after="57" w:afterAutospacing="0" w:line="312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x=</m:t>
          </m:r>
          <m:acc>
            <m:accPr>
              <m:chr m:val="̅"/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x</m:t>
              </m:r>
            </m:e>
          </m:acc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±Δ</m:t>
          </m:r>
          <m:acc>
            <m:accPr>
              <m:chr m:val="̅"/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acc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x</m:t>
              </m:r>
            </m:e>
          </m:acc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x=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0.8820±0.1145</m:t>
              </m:r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 мм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/>
          <w:b w:val="0"/>
          <w:bCs w:val="0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x=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0.88±0.11</m:t>
              </m:r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 мм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Style w:val="908"/>
        <w:pBdr/>
        <w:spacing w:after="57" w:afterAutospacing="0" w:line="312" w:lineRule="auto"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Выводы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08"/>
        <w:pBdr/>
        <w:spacing w:after="57" w:afterAutospacing="0" w:line="240" w:lineRule="auto"/>
        <w:ind w:firstLine="0" w:left="0"/>
        <w:jc w:val="both"/>
        <w:rPr/>
      </w:pPr>
      <w:r>
        <w:rPr>
          <w:b w:val="0"/>
          <w:bCs w:val="0"/>
          <w:highlight w:val="none"/>
        </w:rPr>
      </w:r>
      <w:r>
        <w:t xml:space="preserve">В </w:t>
      </w:r>
      <w:r>
        <w:t xml:space="preserve">ходе выполнения лабораторной </w:t>
      </w:r>
      <w:r>
        <w:t xml:space="preserve">работ</w:t>
      </w:r>
      <w:r>
        <w:t xml:space="preserve">ы </w:t>
      </w:r>
      <w:r>
        <w:t xml:space="preserve">были получены практические навыки измерения длины при помощи штангенциркуля и оценки случайной и систематической погрешностей при многократных измерениях.</w:t>
      </w:r>
      <w:r>
        <w:rPr>
          <w:b w:val="0"/>
          <w:bCs w:val="0"/>
          <w:highlight w:val="none"/>
        </w:rPr>
      </w:r>
      <w:r/>
    </w:p>
    <w:p>
      <w:pPr>
        <w:pStyle w:val="908"/>
        <w:pBdr/>
        <w:spacing w:after="57" w:afterAutospacing="0" w:line="240" w:lineRule="auto"/>
        <w:ind w:firstLine="0" w:left="0"/>
        <w:jc w:val="both"/>
        <w:rPr>
          <w:b w:val="0"/>
          <w:bCs w:val="0"/>
          <w:highlight w:val="none"/>
        </w:rPr>
      </w:pPr>
      <w:r>
        <w:t xml:space="preserve">Л</w:t>
      </w:r>
      <w:r>
        <w:t xml:space="preserve">абораторная работа продемонстрировала важность комплексного подхода при проведении измерительных экспериментов. Полученные результаты показывают, что даже при использовании высокоточного инструмента, такого как штангенциркуль, необходимо тщательно оцениват</w:t>
      </w:r>
      <w:r>
        <w:t xml:space="preserve">ь погрешности для повышения надежности измерений и корректного представления итоговой величины.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2025-04-16T19:03:31Z</dcterms:modified>
</cp:coreProperties>
</file>