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0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НАУКИ И ВЫСШЕГО ОБРАЗОВАНИЯ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РОССИЙСКОЙ ФЕДЕРАЦИИ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ИТМО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систем управления и робототехники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ОТЧ</w:t>
      </w:r>
      <w:r>
        <w:rPr>
          <w:rFonts w:ascii="Times New Roman" w:hAnsi="Times New Roman"/>
          <w:b/>
          <w:bCs/>
          <w:sz w:val="32"/>
          <w:szCs w:val="32"/>
        </w:rPr>
        <w:t xml:space="preserve">Е</w:t>
      </w:r>
      <w:r>
        <w:rPr>
          <w:rFonts w:ascii="Times New Roman" w:hAnsi="Times New Roman"/>
          <w:b/>
          <w:bCs/>
          <w:sz w:val="32"/>
          <w:szCs w:val="32"/>
        </w:rPr>
        <w:t xml:space="preserve">Т 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 лабораторной работе № </w:t>
      </w:r>
      <w:r>
        <w:rPr>
          <w:rFonts w:ascii="Times New Roman" w:hAnsi="Times New Roman"/>
          <w:b/>
          <w:bCs/>
          <w:sz w:val="32"/>
          <w:szCs w:val="32"/>
        </w:rPr>
        <w:t xml:space="preserve">4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 дисциплине</w:t>
        <w:br/>
        <w:t xml:space="preserve">«Метрология, обеспечение качества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сертификация»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10"/>
        <w:pBdr/>
        <w:spacing/>
        <w:ind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 xml:space="preserve">Выбор средства измерений для контроля</w:t>
      </w:r>
      <w:r/>
    </w:p>
    <w:p>
      <w:pPr>
        <w:pStyle w:val="910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работы технологической установки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highlight w:val="none"/>
          <w:lang w:val="undefined"/>
        </w:rPr>
        <w:t xml:space="preserve">Вариант №2</w:t>
      </w:r>
      <w:r>
        <w:rPr>
          <w:rFonts w:ascii="Times New Roman" w:hAnsi="Times New Roman"/>
          <w:b/>
          <w:bCs/>
          <w:sz w:val="32"/>
          <w:szCs w:val="32"/>
          <w:highlight w:val="none"/>
        </w:rPr>
      </w:r>
    </w:p>
    <w:p>
      <w:pPr>
        <w:pStyle w:val="910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10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10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Раб</w:t>
      </w:r>
      <w:r>
        <w:rPr>
          <w:rFonts w:ascii="Times New Roman" w:hAnsi="Times New Roman"/>
          <w:sz w:val="28"/>
          <w:szCs w:val="28"/>
        </w:rPr>
        <w:t xml:space="preserve">оту выполнил: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Овчинников П.А., R3341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Рассадина Анна Александровна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к.т.н., тьютор </w:t>
      </w:r>
      <w:r>
        <w:rPr>
          <w:rFonts w:ascii="Times New Roman" w:hAnsi="Times New Roman"/>
          <w:sz w:val="28"/>
          <w:szCs w:val="28"/>
        </w:rPr>
        <w:t xml:space="preserve">ФСУиР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10"/>
        <w:pBdr/>
        <w:spacing/>
        <w:ind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Санкт-</w:t>
      </w:r>
      <w:r>
        <w:rPr>
          <w:rFonts w:ascii="Times New Roman" w:hAnsi="Times New Roman"/>
          <w:sz w:val="28"/>
          <w:szCs w:val="28"/>
        </w:rPr>
        <w:t xml:space="preserve">Петербург</w:t>
      </w:r>
      <w:r>
        <w:rPr>
          <w:rFonts w:ascii="Times New Roman" w:hAnsi="Times New Roman"/>
          <w:sz w:val="28"/>
          <w:szCs w:val="28"/>
        </w:rPr>
        <w:br/>
        <w:t xml:space="preserve">202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 w:after="0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Цель работы: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10"/>
        <w:numPr>
          <w:ilvl w:val="0"/>
          <w:numId w:val="3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Исследовать средства измерения давления и их характеристики</w:t>
      </w:r>
      <w:r>
        <w:rPr>
          <w:rFonts w:ascii="Times New Roman" w:hAnsi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none"/>
        </w:rPr>
        <w:t xml:space="preserve">Объект исследования:</w:t>
      </w:r>
      <w:r>
        <w:rPr>
          <w:rFonts w:ascii="Times New Roman" w:hAnsi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color w:val="000000"/>
          <w:sz w:val="24"/>
          <w:szCs w:val="24"/>
          <w:highlight w:val="none"/>
        </w:rPr>
      </w:r>
    </w:p>
    <w:p>
      <w:pPr>
        <w:pBdr/>
        <w:spacing w:after="0" w:line="240" w:lineRule="auto"/>
        <w:ind w:firstLine="0" w:left="709"/>
        <w:contextualSpacing w:val="false"/>
        <w:jc w:val="both"/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  <w:t xml:space="preserve">Средства измерения давления</w:t>
      </w:r>
      <w:r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Bdr/>
        <w:spacing w:after="0" w:line="240" w:lineRule="auto"/>
        <w:ind w:firstLine="0" w:left="0"/>
        <w:contextualSpacing w:val="false"/>
        <w:jc w:val="both"/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910"/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Задачи: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10"/>
        <w:numPr>
          <w:ilvl w:val="0"/>
          <w:numId w:val="15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Определить диапазон измеряемых значений параметра;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10"/>
        <w:numPr>
          <w:ilvl w:val="0"/>
          <w:numId w:val="15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Найти в Интернете подходящие средства измерения и описать принцип их работы;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10"/>
        <w:numPr>
          <w:ilvl w:val="0"/>
          <w:numId w:val="15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Описать в виде таблицы метрологические, эксплуатационные и экономические характеристики выбранных средств измерения;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10"/>
        <w:numPr>
          <w:ilvl w:val="0"/>
          <w:numId w:val="15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Сформулировать требования к средствам измерения выбранного параметра и обосновать выбор типа средства измерения.</w:t>
      </w:r>
      <w:r>
        <w:rPr>
          <w:rFonts w:ascii="Times New Roman" w:hAnsi="Times New Roman"/>
          <w:sz w:val="24"/>
          <w:szCs w:val="24"/>
          <w:highlight w:val="none"/>
        </w:rPr>
      </w:r>
      <w:r/>
    </w:p>
    <w:p>
      <w:pPr>
        <w:pStyle w:val="910"/>
        <w:pBdr/>
        <w:spacing/>
        <w:ind w:firstLine="0" w:left="0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10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Диапазон измеряемых значений давления:</w:t>
      </w:r>
      <w:r>
        <w:rPr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10"/>
        <w:pBdr/>
        <w:spacing/>
        <w:ind w:firstLine="0" w:left="709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highlight w:val="none"/>
        </w:rPr>
        <w:t xml:space="preserve">от </w:t>
      </w:r>
      <m:oMath>
        <m:sSup>
          <m:sSupPr>
            <m:ctrlPr>
              <w:rPr>
                <w:rFonts w:ascii="Cambria Math" w:hAnsi="Cambria Math" w:eastAsia="Cambria Math" w:cs="Cambria Math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-1</m:t>
            </m:r>
          </m:sup>
        </m:sSup>
        <m:r>
          <w:rPr>
            <w:rFonts w:hint="default" w:ascii="Cambria Math" w:hAnsi="Cambria Math" w:eastAsia="Cambria Math" w:cs="Cambria Math"/>
            <w:highlight w:val="none"/>
          </w:rPr>
          <m:rPr/>
          <m:t> Па</m:t>
        </m:r>
      </m:oMath>
      <w:r>
        <w:rPr>
          <w:highlight w:val="none"/>
        </w:rPr>
        <w:t xml:space="preserve"> (давление, которого нужно добиться при откачке механическим насосом) до </w:t>
      </w:r>
      <m:oMath>
        <m:sSup>
          <m:sSupPr>
            <m:ctrlPr>
              <w:rPr>
                <w:rFonts w:ascii="Cambria Math" w:hAnsi="Cambria Math" w:eastAsia="Cambria Math" w:cs="Cambria Math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5</m:t>
            </m:r>
          </m:sup>
        </m:sSup>
        <m:r>
          <w:rPr>
            <w:rFonts w:hint="default" w:ascii="Cambria Math" w:hAnsi="Cambria Math" w:eastAsia="Cambria Math" w:cs="Cambria Math"/>
            <w:highlight w:val="none"/>
          </w:rPr>
          <m:rPr/>
          <m:t> Па</m:t>
        </m:r>
      </m:oMath>
      <w:r>
        <w:rPr>
          <w:highlight w:val="none"/>
        </w:rPr>
        <w:t xml:space="preserve"> (нормальное атмосферное давление).</w:t>
      </w:r>
      <w:r>
        <w:rPr>
          <w:highlight w:val="none"/>
        </w:rPr>
      </w:r>
      <w:r/>
    </w:p>
    <w:p>
      <w:pPr>
        <w:pStyle w:val="910"/>
        <w:pBdr/>
        <w:spacing/>
        <w:ind w:firstLine="0" w:left="0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10"/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Ход работы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10"/>
        <w:numPr>
          <w:ilvl w:val="0"/>
          <w:numId w:val="17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Найдём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в Интернете п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римеры средств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измерения давления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и опишем принцип их работы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: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12"/>
          <w:szCs w:val="12"/>
          <w:highlight w:val="none"/>
        </w:rPr>
      </w:pPr>
      <w:r>
        <w:rPr>
          <w:rFonts w:ascii="Times New Roman" w:hAnsi="Times New Roman"/>
          <w:b w:val="0"/>
          <w:bCs w:val="0"/>
          <w:sz w:val="12"/>
          <w:szCs w:val="12"/>
          <w:highlight w:val="none"/>
        </w:rPr>
      </w:r>
      <w:r>
        <w:rPr>
          <w:rFonts w:ascii="Times New Roman" w:hAnsi="Times New Roman"/>
          <w:b w:val="0"/>
          <w:bCs w:val="0"/>
          <w:sz w:val="12"/>
          <w:szCs w:val="12"/>
          <w:highlight w:val="none"/>
        </w:rPr>
      </w:r>
    </w:p>
    <w:p>
      <w:pPr>
        <w:pStyle w:val="910"/>
        <w:pBdr/>
        <w:spacing w:after="57" w:afterAutospacing="0"/>
        <w:ind/>
        <w:jc w:val="center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10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054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69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69.3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  <w:r/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center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234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192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223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11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center"/>
        <w:rPr>
          <w:rFonts w:ascii="Times New Roman" w:hAnsi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/>
          <w:b w:val="0"/>
          <w:bCs w:val="0"/>
          <w:sz w:val="18"/>
          <w:szCs w:val="18"/>
          <w:highlight w:val="none"/>
        </w:rPr>
      </w:r>
    </w:p>
    <w:p>
      <w:pPr>
        <w:pStyle w:val="910"/>
        <w:pBdr/>
        <w:spacing w:after="57" w:afterAutospacing="0"/>
        <w:ind/>
        <w:jc w:val="center"/>
        <w:rPr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72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902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67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57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center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Принцип 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работы средств измерения давления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: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зависит от типа датчика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 — датчики могут быть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ионизационны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ми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, тепловы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ми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, механически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ми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и ёмкостны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val="undefined"/>
        </w:rPr>
        <w:t xml:space="preserve">ми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.</w:t>
      </w:r>
      <w:r/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Ионизационный: Основан на ионизации газа. Представляет собой вакуумный диод, на анод которого подано положительное, а на дополнительный электрод большое отрицательное напряжение. При понижении давления газа уменьшается число атомов, способных подвергнуться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ионизации, и соответственно ионизационный ток, текущий между электродами при данном напряжении.</w:t>
      </w:r>
      <w:r/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Тепловой (термопарный): основан на охлаждении за счёт теплопроводности. Термопара находится в контакте с нагреваемым проводом. Чем лучше вакуум, тем меньше теплопроводность газа, и, следовательно, выше температура проводника (теплопроводность разрежённого г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аза прямо пропорциональна его давлению). Проградуировав подключенный к термопаре милливольтметр при известных давлениях, можно использовать измеряемое значение температуры для определения давления.</w:t>
      </w:r>
      <w:r/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Механический: основан на уравновешивании измеряемого давления силой упругой деформации трубчатой пружины (или другой силой).</w:t>
      </w:r>
      <w:r/>
    </w:p>
    <w:p>
      <w:pPr>
        <w:pStyle w:val="910"/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</w:p>
    <w:p>
      <w:pPr>
        <w:pStyle w:val="910"/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Ёмкостный: основан на изменении ёмкости конденсатора при изменении расстояния между обкладками.</w:t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/>
        <w:jc w:val="left"/>
        <w:rPr>
          <w:rFonts w:ascii="Times New Roman" w:hAnsi="Times New Roman" w:eastAsiaTheme="minorEastAsia"/>
          <w:b/>
          <w:bCs/>
        </w:rPr>
      </w:pPr>
      <w:r>
        <w:rPr>
          <w:rFonts w:ascii="Times New Roman" w:hAnsi="Times New Roman" w:eastAsiaTheme="minorEastAsia"/>
          <w:b/>
          <w:bCs/>
        </w:rPr>
        <w:t xml:space="preserve">Таблица 1. Метрологические, эксплуатационные и экономические характеристик</w:t>
      </w:r>
      <w:r>
        <w:rPr>
          <w:rFonts w:ascii="Times New Roman" w:hAnsi="Times New Roman" w:eastAsiaTheme="minorEastAsia"/>
          <w:b/>
          <w:bCs/>
        </w:rPr>
        <w:t xml:space="preserve">и </w:t>
      </w:r>
      <w:r>
        <w:rPr>
          <w:rFonts w:ascii="Times New Roman" w:hAnsi="Times New Roman" w:eastAsiaTheme="minorEastAsia"/>
          <w:b/>
          <w:bCs/>
          <w:lang w:val="undefined"/>
        </w:rPr>
        <w:t xml:space="preserve">к</w:t>
      </w:r>
      <w:r>
        <w:rPr>
          <w:rFonts w:ascii="Times New Roman" w:hAnsi="Times New Roman" w:eastAsiaTheme="minorEastAsia"/>
          <w:b/>
          <w:bCs/>
        </w:rPr>
        <w:t xml:space="preserve">омбинированного вакуумметра </w:t>
      </w:r>
      <w:r>
        <w:rPr>
          <w:rFonts w:ascii="Times New Roman" w:hAnsi="Times New Roman"/>
          <w:b/>
          <w:bCs/>
          <w:color w:val="000000"/>
        </w:rPr>
        <w:t xml:space="preserve">Ilmvac MRV 3000</w:t>
      </w:r>
      <w:r>
        <w:rPr>
          <w:rFonts w:ascii="Times New Roman" w:hAnsi="Times New Roman" w:eastAsiaTheme="minorEastAsia"/>
          <w:b/>
          <w:bCs/>
        </w:rPr>
      </w:r>
      <w:r>
        <w:rPr>
          <w:rFonts w:ascii="Times New Roman" w:hAnsi="Times New Roman" w:eastAsiaTheme="minorEastAsia"/>
          <w:b/>
          <w:bCs/>
        </w:rPr>
      </w:r>
    </w:p>
    <w:tbl>
      <w:tblPr>
        <w:tblW w:w="10306" w:type="dxa"/>
        <w:tblInd w:w="-719" w:type="dxa"/>
        <w:tblBorders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4777"/>
        <w:gridCol w:w="5528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Тип средства измерения: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Комбинированный вакуумметр Ilmvac MRV 3000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20340" cy="2598420"/>
                      <wp:effectExtent l="0" t="0" r="3810" b="0"/>
                      <wp:docPr id="4" name="Рисунок 3" descr="Изображение выглядит как электроника, Цифровые часы, Электронное устройство, радиочасы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47622250" name="Рисунок 3" descr="Изображение выглядит как электроника, Цифровые часы, Электронное устройство, радиочасы&#10;&#10;Автоматически созданное описание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0340" cy="25984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14.20pt;height:204.60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294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Критерии выбора</w:t>
            </w:r>
            <w:r>
              <w:rPr>
                <w:b/>
                <w:bCs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25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1. Метрологические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1.1. Метрологические характеристики средств измерений, предназначенные для определения результата измерений.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Диапазон измерения: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 пьезо-трандъюсером RS 232, DN 16 KF: от 1330 до 1,3мбар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 пьезо/Пирани-трандъюсером RS 232, DN 16 KF: от 2000 до 1,3х10^-5 мбар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 Пирани-трандъюсером RS 232, DN 16 KF: от 1000 до 1,3х10^-5 мбар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"атмосфера-вакуум " RS 232, DN 25 KF: от 1000 до 7х10^-10 мбар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 мультисенсорным трандъюсером RS 232, DN 25 KF: от 1330 до 6х10^-10 мбар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1.2. Характеристики основной погрешности средства измерения: характеристика систематической составляющей s погрешности средства измерения.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диапазона от 1,3 x 10^(-3) до 1,3 мбар (1 миллиТорр до 1 Торр): ±10%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диапазона от 1,3 до 13,3 мбар (1 до 10 Торр): ±15%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1.3. Характеристики чувствительности средства измерения к влияющим величинам (дополнительные погрешности).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Влияние температурных изменений на точность измерений: ±0.1% от полной шкалы при изменении температуры на 1 градус Цельсия.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Эффект атмосферного давления на показания: ±0.5% при изменении атмосферного давления на 10 мбар.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Влияние влажности на работу электроники: ±0.2% при относительной влажности воздуха выше 80%.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Дополнительная погрешность при механических воздействиях (вибрации, удары): ±0.3% при ускорении больше 2 g.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Влияние электромагнитных полей на сенсор: ±0.1% при близком расположении к источникам сильных электромагнитных полей.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1.4. Динамические характеристики средства измерения.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Задержка измерения: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0,2 мс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Гистерезис: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 цифровое значение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:lang w:val="undefined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1.5. Характеристики св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ойств средства измерения, влияющие на погрешность измерения вследствие взаимодействия средства измерения с объектом измерения и другими средствами измерения, входящими в измерительную систему, с вычислительными, регистрирующими и управляющими устройствами.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Допустимая перегрузка: от 2 до 6 бар (в зависимости от типа трандъюсера)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2. Эксплуатационные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2.1. Климатические условия эксплуатации средства измерения;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Диапазон рабочих температур: от -10°C до +50°C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Диапазон относительной влажности: от 10% до 90% при температуре до +35°C, без конденсации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Устойчивость к воздействию внешних атмосферных условий: защита от пыли и влаги в соответствии с IP65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2.2. Автономное или э/питание от сети общего пользования;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Потребляемая мощность:макс. 25 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Питание: 14-30 V DC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2.3. Габариты, масса, сочленение с ПК;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Габаритные размеры: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114х95х95 мм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Имеются интерфейсы RS-232, RS-485 и аналоговый выход;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3 реле для программирования программного обеспечения;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2.4. Простота эксплуатации средства измерения, вспомогательного оборудования, в том числе их ремонтопригодность;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Присоединение: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 зависимости от трандъюсера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Возможно управление клапанами;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Сигнал тревоги при отклонении от заданной точки;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Ж/к дисплей служит как диалоговое окно, а также для индикации значений измерения.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2.5. Квалификация оператора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использования требуется обучение оператора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3. Экономические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3.1. Число измерений в единицу времени;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Задержка измерения:0,2 мс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3.2. Стоимость измерений (стоимость средства измерений, вспомогательного оборудования, расходных материалов, оплата труда оператора);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Функционирует только вместе с трандъюсером и кабелем.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3.3. Ресурс работы средства измерения.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Гарантия от 1 года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Средняя продолжительность работы без замены деталей: 4500 часов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Таблица 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2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. Метрологические, эксплуатационные и экономические характеристики 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в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акуумметра термопарного Agilent 531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tbl>
      <w:tblPr>
        <w:tblW w:w="10306" w:type="dxa"/>
        <w:tblInd w:w="-719" w:type="dxa"/>
        <w:tblBorders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4777"/>
        <w:gridCol w:w="5528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Тип средства измерения: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Вакуумметр термопарный Agilent 531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color w:val="000000"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81436" cy="2156715"/>
                      <wp:effectExtent l="0" t="0" r="0" b="0"/>
                      <wp:docPr id="5" name="Рисунок 1" descr="Изображение выглядит как трубка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3690502" name="Рисунок 1" descr="Изображение выглядит как трубка&#10;&#10;Автоматически созданное описание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rcRect l="24537" t="8696" r="31097" b="1201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981435" cy="2156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77.28pt;height:169.82pt;mso-wrap-distance-left:0.00pt;mso-wrap-distance-top:0.00pt;mso-wrap-distance-right:0.00pt;mso-wrap-distance-bottom:0.00pt;rotation:0;z-index:1;" stroked="f">
                      <v:imagedata r:id="rId13" o:title="" croptop="5699f" cropleft="16081f" cropbottom="7877f" cropright="20380f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294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Критерии выбора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25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1. Метрологические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1.1. Метрологические характеристики средств измерений, предназначенные для определения результата измерений. 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br/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Вход и выход: KF16, KF25, CFF16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Датчики: XGS-600, RGC-100, RGC-150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Диапазон показаний, торр: 1x10^(-3) Торр - Атм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Категория: Вакуумметр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Модель: 531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Назначение: Промышленный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Серия: 500 Series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Тип: Цифровой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Тип сенсора: Термопарный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Градуировка вакуумметра проводится сравнением его показаний с показаниями образцового жидкостного U-образного манометра.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1.2. Характеристики основной погрешности средства измерения.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диапазона от 1,3 x 10^(-3) до 1,3 мбар (1 миллиТорр до 1 Торр): ±10%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диапазона от 1,3 до 13,3 мбар (1 до 10 Торр): ±15%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диапазона от 213 до 1000 мбар (160 Торр до 760 Торр): ±25%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диапазона от 13,3 до 213 мбар (10 до 160 Торр): ±50%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1.4. Динамические характеристики средства измерения.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Время отклика, мс: 3000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1.5. Характеристики св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ойств средства измерения, влияющие на погрешность измерения вследствие взаимодействия средства измерения с объектом измерения и другими средствами измерения, входящими в измерительную систему, с вычислительными, регистрирующими и управляющими устройствами.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Температура отжига, °C: 80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Подходит для работы с любыми газовыми средами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Температура хранения: от -15 до 80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Температурный режим, °C: от 0 до 50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2. Эксплуатационные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2.1. Климатические условия эксплуатации средства измерения;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Рабочая температура окружающей среды: от 0 до 50 °C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Температура хранения окружающей среды: -15 до 80 °C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Места, подверженные вибрации от работающих механизмов, не превыщающей 55 Гц. Типовое размещение на промышленных объектах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2.2. Автономное или э/питание от сети общего пользования;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Питание от сети, напряжение 220+-20 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2.3. Габариты, масса, сочленение с ПК;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Возможность подключения внешнего регистрирующего прибора (ПК)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Габариты 222х277х67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Масса до 0,5 кг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2.4. Простота эксплуатации средства измерения, вспомогательного оборудования, в том числе их ремонтопригодность;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Возможность установки в любом положении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Подходит для работы с любыми газовыми средами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Гарантируется работа и ремонт в течение 1 года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2.5. Квалификация оператора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использования требуется обучение оператора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3. Экономические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3.1. Число измерений в единицу времени;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Время отклика, мс: 3000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3.2. Стоимость измерений (стоимость средства измерений, вспомогательного оборудования, расходных материалов, оплата труда оператора);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Рекомендуемый контроллер: XGS-600/RGC-100/RGC-150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~50 000 рублей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Наладка оборудования и работа оператора: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~ 10 000 руб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3.3. Ресурс работы средства измерения.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Гарантия: 1 год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Средний ресурс: 50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000 часов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Таблица 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3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. Метрологические, эксплуатационные и экономические характеристики 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undefined"/>
        </w:rPr>
        <w:t xml:space="preserve">и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онизационного датчика.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tbl>
      <w:tblPr>
        <w:tblW w:w="10306" w:type="dxa"/>
        <w:tblInd w:w="-719" w:type="dxa"/>
        <w:tblBorders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4777"/>
        <w:gridCol w:w="5528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Тип средства измерения: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Пассивный ионизационный вакуумметр с горячим катодом INFICON BAG050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color w:val="000000"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41220" cy="3329940"/>
                      <wp:effectExtent l="0" t="0" r="0" b="0"/>
                      <wp:docPr id="6" name="Рисунок 2" descr="Изображение выглядит как цилиндр, микрофон, в помещении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84427399" name="Рисунок 2" descr="Изображение выглядит как цилиндр, микрофон, в помещении&#10;&#10;Автоматически созданное описание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141219" cy="3329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68.60pt;height:262.20pt;mso-wrap-distance-left:0.00pt;mso-wrap-distance-top:0.00pt;mso-wrap-distance-right:0.00pt;mso-wrap-distance-bottom:0.00pt;rotation:0;z-index:1;" stroked="f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294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Критерии выбора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25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1. Метрологические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1.1. Метрологические характеристики средств измерений, предназначенные для определения результата измерений.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Принцип измерения: Ионизация с горячим катодом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Диапазон измерений: 2.7х10^-11 — 1.3х10^-3 мбар, 2х10^-11 — 1х10^-3 Торр, 2.7х10^-9 — 1.3х10^-1 Па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Рентгеновский предел, Торр: 2х10^-11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Градуировка вакуумметра проводится сравнением его показаний с показаниями образцового жидкостного U-образного манометра.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Цена деления равна 5 кгс/см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1.2. Характеристики основной погрешности средства измерения: характеристика систематической составляющей s погрешности средства измерения.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Точность измерения (N2, типовая): ±20%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1.3. Характеристики чувствительности средства измерения к влияющим величинам (дополнительные погрешности).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Чувствительность (N2, типовая): 25 Торр^-1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1.4. Динамические характеристики средства измерения.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Повторяемость (N2, типовая): ±5%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Максимальная скорость измерения: 1 раз в 4 секунды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1.5. Характеристики св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ойств средства измерения, влияющие на погрешность измерения вследствие взаимодействия средства измерения с объектом измерения и другими средствами измерения, входящими в измерительную систему, с вычислительными, регистрирующими и управляющими устройствами.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Электронная бомбардировка (EB) при дегазации: ≤40 Вт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2. Эксплуатационные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2.1. Климатические условия эксплуатации средства измерения;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Макс. температура прогрева, °C: 450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2.2. Автономное или э/питание от сети общего пользования;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Ток нагрева на катоде, А: 2.5 — 3.5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Напряжение нагрева катода, В: 3 — 5 постоянного тока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Потенциал на катоде, В: +30 постоянного тока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Потенциал сетки, В: +180 постоянного тока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Потенциал на аноде, В: 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2.3. Габариты, масса, сочленение с ПК;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Общая длина, дюйм: 4⅛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Длина вставки, дюйм: 3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2.4. Простота эксплуатации средства измерения, вспомогательного оборудования, в том числе их ремонтопригодность;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Ориентация при монтаже: Любая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2.5. Квалификация оператора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Для использования требуется обучение оператора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306" w:type="dxa"/>
            <w:vMerge w:val="restart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</w:rPr>
              <w:t xml:space="preserve">3. Экономические характеристики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3.1. Число измерений в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единицу времени;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Время отклика, мс: 4000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3.2. Стоимость измерений (стоимость средства измерений, вспомогательного оборудования, расходных материалов, оплата труда оператора);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Стоимость вакуумного измерительного устройства: около 100 000 рублей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Стоимость необходимых расходных материалов: примерно 5 000 рублей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Оплата труда оператора за час работы: примерно 1 000 рублей.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77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 3.3. Ресурс работы средства измерения. 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131" w:type="dxa"/>
            <w:textDirection w:val="lrTb"/>
            <w:noWrap w:val="false"/>
          </w:tcPr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Материал анода: Вольфрам (W), Ø0.005''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Материал катода (нить накаливания): Двойной иридий (Ir), или двойной вольфрам (W)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Изолятор: Керамика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Материал фланцев: SS AISI 304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Гарантия от 1 года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  <w:t xml:space="preserve">Средняя продолжительность работы без замены деталей: 5000 часов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Style w:val="910"/>
              <w:pBdr/>
              <w:spacing w:after="57" w:afterAutospacing="0"/>
              <w:ind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Т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ребования к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средству измерения давления: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10"/>
        <w:numPr>
          <w:ilvl w:val="0"/>
          <w:numId w:val="19"/>
        </w:numPr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средство измерения должно иметь определённый диапазон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(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указан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выше)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numPr>
          <w:ilvl w:val="0"/>
          <w:numId w:val="19"/>
        </w:numPr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оно должно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измерять величину с высокой частотой (т.к. процесс откачки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воздуха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является непрерывным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,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и важно всегда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получать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актуальное значение давления)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numPr>
          <w:ilvl w:val="0"/>
          <w:numId w:val="19"/>
        </w:numPr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проявления инерционных свойств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средства измерения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должно быть сведено к минимуму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Требования к средству измерения давления: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</w:t>
        <w:tab/>
        <w:t xml:space="preserve">средство измерения должно иметь определённый диапазон (указан выше)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</w:t>
        <w:tab/>
        <w:t xml:space="preserve">оно должно измерять величину с высокой частотой (т.к. процесс откачки воздуха является непрерывным, и важно всегда получать актуальное значение давления)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</w:t>
        <w:tab/>
        <w:t xml:space="preserve">проявления инерционных свойств средства измерения должно быть сведено к минимуму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</w:t>
        <w:tab/>
        <w:t xml:space="preserve">высокая точность средства измерения не требуется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Обоснование выбора типа средства измерения: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Вакуумметр термопарный Agilent 531. Относительно невысока стоимость, подходит для работы с любыми газовыми средами, условия эксплуатации не подразумевают строгого температурного режима и других специальных условий, подходящий диапазон измерения.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</w:t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</w:p>
    <w:p>
      <w:pPr>
        <w:pStyle w:val="910"/>
        <w:pBdr/>
        <w:spacing w:after="57" w:afterAutospacing="0"/>
        <w:ind/>
        <w:jc w:val="left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Выводы</w:t>
      </w:r>
      <w:r/>
    </w:p>
    <w:p>
      <w:pPr>
        <w:pStyle w:val="910"/>
        <w:numPr>
          <w:ilvl w:val="0"/>
          <w:numId w:val="19"/>
        </w:numPr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 рамках данной лабораторной работы мы исследовали средства измерения давления, их метрологические, эксплуатационные и экономические характеристики. Определили требования и обосновали выбор типа средства измерения.</w:t>
      </w:r>
      <w:r/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высокая точность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средства измерения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не требуется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Обоснование выбора типа средства измерения: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Вакуумметр термопарный Agilent 531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. Относительно невысока стоимость, подходит для работы с любыми газовыми средами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, условия эксплуатации не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подразумевают строгого температурного режим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а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и других специальных условий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, подходящий диапазон измерения.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Выводы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 рамках данной лабораторной работы мы исследовали средства измерения давления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, их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  <w:lang w:eastAsia="ru-RU"/>
        </w:rPr>
        <w:t xml:space="preserve">метрологические,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эксплуатационные и экономические характеристики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. Определили требования и обосновали выбор типа средства измерения.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10"/>
        <w:pBdr/>
        <w:spacing w:after="57" w:afterAutospacing="0"/>
        <w:ind/>
        <w:jc w:val="left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7"/>
    <w:next w:val="907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7"/>
    <w:next w:val="907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7"/>
    <w:next w:val="907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7"/>
    <w:next w:val="90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7"/>
    <w:next w:val="907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7"/>
    <w:next w:val="90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7"/>
    <w:next w:val="907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7"/>
    <w:next w:val="907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7"/>
    <w:next w:val="907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basedOn w:val="85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85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7"/>
    <w:next w:val="907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7"/>
    <w:next w:val="907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7"/>
    <w:next w:val="907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7"/>
    <w:next w:val="907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7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7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7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7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7"/>
    <w:next w:val="907"/>
    <w:uiPriority w:val="39"/>
    <w:unhideWhenUsed/>
    <w:pPr>
      <w:pBdr/>
      <w:spacing w:after="100"/>
      <w:ind/>
    </w:pPr>
  </w:style>
  <w:style w:type="paragraph" w:styleId="897">
    <w:name w:val="toc 2"/>
    <w:basedOn w:val="907"/>
    <w:next w:val="907"/>
    <w:uiPriority w:val="39"/>
    <w:unhideWhenUsed/>
    <w:pPr>
      <w:pBdr/>
      <w:spacing w:after="100"/>
      <w:ind w:left="220"/>
    </w:pPr>
  </w:style>
  <w:style w:type="paragraph" w:styleId="898">
    <w:name w:val="toc 3"/>
    <w:basedOn w:val="907"/>
    <w:next w:val="907"/>
    <w:uiPriority w:val="39"/>
    <w:unhideWhenUsed/>
    <w:pPr>
      <w:pBdr/>
      <w:spacing w:after="100"/>
      <w:ind w:left="440"/>
    </w:pPr>
  </w:style>
  <w:style w:type="paragraph" w:styleId="899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0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1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2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3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4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No Spacing"/>
    <w:basedOn w:val="907"/>
    <w:uiPriority w:val="1"/>
    <w:qFormat/>
    <w:pPr>
      <w:pBdr/>
      <w:spacing w:after="0" w:line="240" w:lineRule="auto"/>
      <w:ind/>
    </w:pPr>
  </w:style>
  <w:style w:type="paragraph" w:styleId="911">
    <w:name w:val="List Paragraph"/>
    <w:basedOn w:val="907"/>
    <w:uiPriority w:val="34"/>
    <w:qFormat/>
    <w:pPr>
      <w:pBdr/>
      <w:spacing/>
      <w:ind w:left="720"/>
      <w:contextualSpacing w:val="true"/>
    </w:pPr>
  </w:style>
  <w:style w:type="paragraph" w:styleId="1_1162" w:customStyle="1">
    <w:name w:val="Normal (Web)"/>
    <w:basedOn w:val="674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2025-05-23T07:26:40Z</dcterms:modified>
</cp:coreProperties>
</file>