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CYBR3030 – Cryptography Case Study Report</w:t>
      </w:r>
    </w:p>
    <w:p>
      <w:r>
        <w:t>Prepared for: Bruce Wayne, Edmonton Comics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Summary</w:t>
        <w:br/>
        <w:t>2. Network Diagram</w:t>
        <w:br/>
        <w:t>3. Gap Analysis &amp; Risks</w:t>
        <w:br/>
        <w:t>4. Cryptographic Solutions &amp; Recommendations</w:t>
        <w:br/>
        <w:t>5. References</w:t>
      </w:r>
    </w:p>
    <w:p>
      <w:r>
        <w:br w:type="page"/>
      </w:r>
    </w:p>
    <w:p>
      <w:pPr>
        <w:pStyle w:val="Heading1"/>
      </w:pPr>
      <w:r>
        <w:t>Summary</w:t>
      </w:r>
    </w:p>
    <w:p>
      <w:r>
        <w:t>This report analyzes the current security posture of Edmonton Comics' network and provides recommendations for improving cryptographic protections. It evaluates the risks associated with plaintext credentials, self-signed certificates, partner access, and data security. The report also identifies cryptographic methods to protect data in transit and at rest, ensuring secure collaboration with authorized partners.</w:t>
      </w:r>
    </w:p>
    <w:p>
      <w:r>
        <w:br w:type="page"/>
      </w:r>
    </w:p>
    <w:p>
      <w:pPr>
        <w:pStyle w:val="Heading1"/>
      </w:pPr>
      <w:r>
        <w:t>Network Diagram</w:t>
      </w:r>
    </w:p>
    <w:p>
      <w:r>
        <w:t>The following diagram represents the current network environment as described in the scenario:</w:t>
      </w:r>
    </w:p>
    <w:p>
      <w:r>
        <w:drawing>
          <wp:inline xmlns:a="http://schemas.openxmlformats.org/drawingml/2006/main" xmlns:pic="http://schemas.openxmlformats.org/drawingml/2006/picture">
            <wp:extent cx="5486400" cy="37142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4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Gap Analysis and Risks</w:t>
      </w:r>
    </w:p>
    <w:p>
      <w:r>
        <w:t>1. Plaintext storage of usernames and passwords creates a major risk of credential compromise.</w:t>
        <w:br/>
        <w:t>2. Use of a self-signed certificate increases vulnerability to man-in-the-middle attacks.</w:t>
        <w:br/>
        <w:t>3. Partners access sensitive data without enforced encryption standards.</w:t>
        <w:br/>
        <w:t>4. No mention of database encryption, increasing risk of data exposure.</w:t>
        <w:br/>
        <w:t>5. Lack of strong authentication mechanisms for external partners.</w:t>
      </w:r>
    </w:p>
    <w:p>
      <w:pPr>
        <w:pStyle w:val="Heading1"/>
      </w:pPr>
      <w:r>
        <w:t>Cryptographic Solutions &amp; Recommendations</w:t>
      </w:r>
    </w:p>
    <w:p>
      <w:r>
        <w:t>• Implement TLS with certificates issued by a trusted Certificate Authority (CA).</w:t>
        <w:br/>
        <w:t>• Hash all stored passwords using bcrypt, PBKDF2, or Argon2.</w:t>
        <w:br/>
        <w:t>• Use AES-256 for encrypting stored data.</w:t>
        <w:br/>
        <w:t>• Enforce end‑to‑end encryption for API partner communications.</w:t>
        <w:br/>
        <w:t>• Replace self‑signed certificates with CA‑signed certificates to ensure authenticity.</w:t>
      </w:r>
    </w:p>
    <w:p>
      <w:r>
        <w:br w:type="page"/>
      </w:r>
    </w:p>
    <w:p>
      <w:pPr>
        <w:pStyle w:val="Heading1"/>
      </w:pPr>
      <w:r>
        <w:t>References</w:t>
      </w:r>
    </w:p>
    <w:p>
      <w:r>
        <w:t>References available upon request or to be completed by student.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