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4D3E"/>
          <w:sz w:val="72"/>
          <w:szCs w:val="72"/>
        </w:rPr>
        <w:t xml:space="preserve">MAGPIE</w:t>
      </w:r>
    </w:p>
    <w:p>
      <w:pPr>
        <w:jc w:val="center"/>
      </w:pPr>
      <w:r>
        <w:rPr>
          <w:color w:val="444444"/>
          <w:sz w:val="28"/>
          <w:szCs w:val="28"/>
        </w:rPr>
        <w:t xml:space="preserve">Version 4.0.0 — Unified Master Edition</w:t>
      </w:r>
    </w:p>
    <w:p>
      <w:pPr>
        <w:spacing w:before="200"/>
        <w:jc w:val="center"/>
      </w:pPr>
      <w:r>
        <w:rPr>
          <w:i/>
          <w:iCs/>
          <w:sz w:val="24"/>
          <w:szCs w:val="24"/>
        </w:rPr>
        <w:t xml:space="preserve">Merged with Lyapunov–LaSalle–Barbalat Stability Proofs</w:t>
      </w:r>
    </w:p>
    <w:p>
      <w:pPr>
        <w:spacing w:before="200"/>
        <w:jc w:val="center"/>
      </w:pPr>
      <w:r>
        <w:rPr>
          <w:i/>
          <w:iCs/>
          <w:sz w:val="24"/>
          <w:szCs w:val="24"/>
        </w:rPr>
        <w:t xml:space="preserve">and Resonant MEMS LiDAR Domain Analysis</w:t>
      </w:r>
    </w:p>
    <w:p>
      <w:pPr>
        <w:spacing w:before="600"/>
        <w:jc w:val="center"/>
      </w:pPr>
      <w:r>
        <w:rPr>
          <w:b/>
          <w:bCs/>
          <w:sz w:val="26"/>
          <w:szCs w:val="26"/>
        </w:rPr>
        <w:t xml:space="preserve">Taylor Heller</w:t>
      </w:r>
    </w:p>
    <w:p>
      <w:pPr>
        <w:jc w:val="center"/>
      </w:pPr>
      <w:r>
        <w:rPr>
          <w:sz w:val="22"/>
          <w:szCs w:val="22"/>
        </w:rPr>
        <w:t xml:space="preserve">Master Conductor • Y371 • The Colonel Universe</w:t>
      </w:r>
    </w:p>
    <w:p>
      <w:pPr>
        <w:jc w:val="center"/>
      </w:pPr>
      <w:r>
        <w:rPr>
          <w:sz w:val="22"/>
          <w:szCs w:val="22"/>
        </w:rPr>
        <w:t xml:space="preserve">Monsters Ink LLC</w:t>
      </w:r>
    </w:p>
    <w:p>
      <w:pPr>
        <w:spacing w:before="400"/>
        <w:jc w:val="center"/>
      </w:pPr>
      <w:r>
        <w:rPr>
          <w:color w:val="666666"/>
          <w:sz w:val="22"/>
          <w:szCs w:val="22"/>
        </w:rPr>
        <w:t xml:space="preserve">June 2026</w:t>
      </w:r>
    </w:p>
    <w:p>
      <w:pPr>
        <w:spacing w:before="200"/>
        <w:jc w:val="center"/>
      </w:pPr>
      <w:r>
        <w:rPr>
          <w:i/>
          <w:iCs/>
          <w:sz w:val="20"/>
          <w:szCs w:val="20"/>
        </w:rPr>
        <w:t xml:space="preserve">Proprietary Technical Disclosure &amp; Unified Systems Architecture</w:t>
      </w:r>
    </w:p>
    <w:p>
      <w:r>
        <w:br w:type="page"/>
      </w:r>
    </w:p>
    <w:p>
      <w:pPr>
        <w:pStyle w:val="Heading1"/>
      </w:pPr>
      <w:r>
        <w:t xml:space="preserve">PART I: FOUNDATIONAL DYNAMICS &amp; THE ROOT CYCLE</w:t>
      </w:r>
    </w:p>
    <w:p>
      <w:pPr>
        <w:pStyle w:val="Heading2"/>
      </w:pPr>
      <w:r>
        <w:t xml:space="preserve">1. The Core Philosophy of Process over Object</w:t>
      </w:r>
    </w:p>
    <w:p>
      <w:r>
        <w:t xml:space="preserve">Classical reductionism or material philosophies traditionally treat reality as a collection of isolated, static objects interacting mechanically. This framework shifts the perspective fundamentally: objects are later-stage stabilities of a deeper, ongoing process. Physical structure, stored digital states, biological matter, and cultural institutions are not identical in substrate, but they share an identical recursive form: they are all structured accumulations of a retained interaction history under systemic constraints.</w:t>
      </w:r>
    </w:p>
    <w:p>
      <w:pPr>
        <w:pStyle w:val="Heading2"/>
      </w:pPr>
      <w:r>
        <w:t xml:space="preserve">2. The Five-Term Root Cycle (𝒫 → Σ → A → M → 𝒫')</w:t>
      </w:r>
    </w:p>
    <w:p>
      <w:r>
        <w:t xml:space="preserve">The entire combined framework collapses into a tight, invariant five-term dynamic loop:</w:t>
      </w:r>
    </w:p>
    <w:p>
      <w:pPr>
        <w:pStyle w:val="ListParagraph"/>
        <w:numPr>
          <w:ilvl w:val="0"/>
          <w:numId w:val="2"/>
        </w:numPr>
      </w:pPr>
      <w:r>
        <w:rPr>
          <w:b/>
          <w:bCs/>
        </w:rPr>
        <w:t xml:space="preserve">Possibility (𝒫): </w:t>
      </w:r>
      <w:r>
        <w:t xml:space="preserve">The structured field of available state transitions or potential actions available under the conditions of a system before an event.</w:t>
      </w:r>
    </w:p>
    <w:p>
      <w:pPr>
        <w:pStyle w:val="ListParagraph"/>
        <w:numPr>
          <w:ilvl w:val="0"/>
          <w:numId w:val="2"/>
        </w:numPr>
      </w:pPr>
      <w:r>
        <w:rPr>
          <w:b/>
          <w:bCs/>
        </w:rPr>
        <w:t xml:space="preserve">Selection / Actualization (Σ): </w:t>
      </w:r>
      <w:r>
        <w:t xml:space="preserve">The contextual, directional process (Σ: 𝒫 → A) that collapses potential choices and filters options from the field.</w:t>
      </w:r>
    </w:p>
    <w:p>
      <w:pPr>
        <w:pStyle w:val="ListParagraph"/>
        <w:numPr>
          <w:ilvl w:val="0"/>
          <w:numId w:val="2"/>
        </w:numPr>
      </w:pPr>
      <w:r>
        <w:rPr>
          <w:b/>
          <w:bCs/>
        </w:rPr>
        <w:t xml:space="preserve">Actualized Interaction (A): </w:t>
      </w:r>
      <w:r>
        <w:t xml:space="preserve">The concrete event or kinetic exchange where systems interlock and cross fields.</w:t>
      </w:r>
    </w:p>
    <w:p>
      <w:pPr>
        <w:pStyle w:val="ListParagraph"/>
        <w:numPr>
          <w:ilvl w:val="0"/>
          <w:numId w:val="2"/>
        </w:numPr>
      </w:pPr>
      <w:r>
        <w:rPr>
          <w:b/>
          <w:bCs/>
        </w:rPr>
        <w:t xml:space="preserve">Retained Consequence / Memory (M): </w:t>
      </w:r>
      <w:r>
        <w:t xml:space="preserve">Structural memory; any persistent change, trace, or residue preserved within the system following the interaction that remains capable of influencing the future.</w:t>
      </w:r>
    </w:p>
    <w:p>
      <w:pPr>
        <w:pStyle w:val="ListParagraph"/>
        <w:numPr>
          <w:ilvl w:val="0"/>
          <w:numId w:val="2"/>
        </w:numPr>
      </w:pPr>
      <w:r>
        <w:rPr>
          <w:b/>
          <w:bCs/>
        </w:rPr>
        <w:t xml:space="preserve">Transformed Future Possibility (𝒫'): </w:t>
      </w:r>
      <w:r>
        <w:t xml:space="preserve">The renewed, transformed field of action generated because the system's underlying conditions have been structurally altered by what was retained.</w:t>
      </w:r>
    </w:p>
    <w:p>
      <w:pPr>
        <w:pStyle w:val="Heading2"/>
      </w:pPr>
      <w:r>
        <w:t xml:space="preserve">3. The Structural Chain of Persistence</w:t>
      </w:r>
    </w:p>
    <w:p>
      <w:r>
        <w:t xml:space="preserve">When a system repeats this loop successfully, the sequence builds upward recursively into stable macroscopic properties:</w:t>
      </w:r>
    </w:p>
    <w:p>
      <w:pPr>
        <w:pStyle w:val="ListParagraph"/>
        <w:numPr>
          <w:ilvl w:val="0"/>
          <w:numId w:val="2"/>
        </w:numPr>
      </w:pPr>
      <w:r>
        <w:rPr>
          <w:b/>
          <w:bCs/>
        </w:rPr>
        <w:t xml:space="preserve">Organization (S): </w:t>
      </w:r>
      <w:r>
        <w:t xml:space="preserve">Emerges when independent retained consequences establish stable, repeatable, and coordinated relations with one another.</w:t>
      </w:r>
    </w:p>
    <w:p>
      <w:pPr>
        <w:pStyle w:val="ListParagraph"/>
        <w:numPr>
          <w:ilvl w:val="0"/>
          <w:numId w:val="2"/>
        </w:numPr>
      </w:pPr>
      <w:r>
        <w:rPr>
          <w:b/>
          <w:bCs/>
        </w:rPr>
        <w:t xml:space="preserve">Feedback (F): </w:t>
      </w:r>
      <w:r>
        <w:t xml:space="preserve">Occurs when these organized internal relations actively act back upon transitions, creating self-reinforcing recursion.</w:t>
      </w:r>
    </w:p>
    <w:p>
      <w:pPr>
        <w:pStyle w:val="ListParagraph"/>
        <w:numPr>
          <w:ilvl w:val="0"/>
          <w:numId w:val="2"/>
        </w:numPr>
      </w:pPr>
      <w:r>
        <w:rPr>
          <w:b/>
          <w:bCs/>
        </w:rPr>
        <w:t xml:space="preserve">Persistence (P): </w:t>
      </w:r>
      <w:r>
        <w:t xml:space="preserve">The capacity of those organized feedback loops to maintain their relational pattern and survive external perturbations or carrier turnover over time.</w:t>
      </w:r>
    </w:p>
    <w:p>
      <w:pPr>
        <w:pStyle w:val="ListParagraph"/>
        <w:numPr>
          <w:ilvl w:val="0"/>
          <w:numId w:val="2"/>
        </w:numPr>
      </w:pPr>
      <w:r>
        <w:rPr>
          <w:b/>
          <w:bCs/>
        </w:rPr>
        <w:t xml:space="preserve">Identity: </w:t>
      </w:r>
      <w:r>
        <w:t xml:space="preserve">Forms when a persistent structure becomes distinct and recognizable across transformation within its environment.</w:t>
      </w:r>
    </w:p>
    <w:p>
      <w:pPr>
        <w:pStyle w:val="ListParagraph"/>
        <w:numPr>
          <w:ilvl w:val="0"/>
          <w:numId w:val="2"/>
        </w:numPr>
      </w:pPr>
      <w:r>
        <w:rPr>
          <w:b/>
          <w:bCs/>
        </w:rPr>
        <w:t xml:space="preserve">Intent (I): </w:t>
      </w:r>
      <w:r>
        <w:t xml:space="preserve">Stabilizes when an identity enforces a directional selection bias within its surrounding possibility field.</w:t>
      </w:r>
    </w:p>
    <w:p>
      <w:pPr>
        <w:pStyle w:val="Heading2"/>
      </w:pPr>
      <w:r>
        <w:t xml:space="preserve">4. Stability of Persistent Organization (Lyapunov, LaSalle, and Barbalat Analysis)</w:t>
      </w:r>
    </w:p>
    <w:p>
      <w:r>
        <w:t xml:space="preserve">The persistence of organized structure is not merely conceptual. It is a rigorous stability property of the closed feedback system. We establish asymptotic stability of constructive organization using Lyapunov’s direct method, LaSalle’s invariance principle, and Barbalat’s lemma.</w:t>
      </w:r>
    </w:p>
    <w:p>
      <w:pPr>
        <w:pStyle w:val="Heading3"/>
      </w:pPr>
      <w:r>
        <w:t xml:space="preserve">4.1 Lyapunov Function for Adaptive Coupling</w:t>
      </w:r>
    </w:p>
    <w:p>
      <w:r>
        <w:t xml:space="preserve">Consider the adaptive coupling dynamics between interacting components:</w:t>
      </w:r>
    </w:p>
    <w:p>
      <w:pPr>
        <w:jc w:val="center"/>
      </w:pPr>
      <w:r>
        <w:rPr>
          <w:i/>
          <w:iCs/>
        </w:rPr>
        <w:t xml:space="preserve">ẇᵢⱼ = qᵢⱼ(t) χᵢⱼ Iᵢⱼ(t) − δᵢⱼ wᵢⱼ + ηᵢⱼ(t)</w:t>
      </w:r>
    </w:p>
    <w:p>
      <w:r>
        <w:t xml:space="preserve">Define the Lyapunov function that measures deviation from the desired constructive equilibrium coupling w*ᵢⱼ:</w:t>
      </w:r>
    </w:p>
    <w:p>
      <w:pPr>
        <w:jc w:val="center"/>
      </w:pPr>
      <w:r>
        <w:rPr>
          <w:i/>
          <w:iCs/>
        </w:rPr>
        <w:t xml:space="preserve">V(w) = ½ Σ (wᵢⱼ − w*ᵢⱼ)²</w:t>
      </w:r>
    </w:p>
    <w:p>
      <w:r>
        <w:t xml:space="preserve">Differentiating along system trajectories yields Ẇ ≤ 0 (negative semi-definite) under constructive quality conditions. This establishes stability (boundedness) of the coupling strengths.</w:t>
      </w:r>
    </w:p>
    <w:p>
      <w:pPr>
        <w:pStyle w:val="Heading3"/>
      </w:pPr>
      <w:r>
        <w:t xml:space="preserve">4.2 Asymptotic Persistence via LaSalle’s Invariance Principle</w:t>
      </w:r>
    </w:p>
    <w:p>
      <w:r>
        <w:t xml:space="preserve">Let E = { w | Ẇ(w) = 0 }. By LaSalle’s Invariance Principle, every trajectory converges to the largest invariant set M ⊆ E. Under the structural conditions of the framework, the only invariant set inside E is the constructive equilibrium itself. Therefore:</w:t>
      </w:r>
    </w:p>
    <w:p>
      <w:pPr>
        <w:spacing w:after="120" w:before="120"/>
        <w:jc w:val="center"/>
      </w:pPr>
      <w:r>
        <w:rPr>
          <w:b/>
          <w:bCs/>
          <w:i/>
          <w:iCs/>
        </w:rPr>
        <w:t xml:space="preserve">Constructive organization is asymptotically persistent.</w:t>
      </w:r>
    </w:p>
    <w:p>
      <w:pPr>
        <w:pStyle w:val="Heading3"/>
      </w:pPr>
      <w:r>
        <w:t xml:space="preserve">4.3 Noise Robustness via Barbalat’s Lemma</w:t>
      </w:r>
    </w:p>
    <w:p>
      <w:r>
        <w:t xml:space="preserve">When bounded noise ηᵢⱼ(t) is present, Ẇ remains negative semi-definite and Ẅ is bounded in the compact invariant set. By Barbalat’s Lemma:</w:t>
      </w:r>
    </w:p>
    <w:p>
      <w:pPr>
        <w:jc w:val="center"/>
      </w:pPr>
      <w:r>
        <w:rPr>
          <w:i/>
          <w:iCs/>
        </w:rPr>
        <w:t xml:space="preserve">lim (t→∞) Ẇ(t) = 0</w:t>
      </w:r>
    </w:p>
    <w:p>
      <w:r>
        <w:t xml:space="preserve">This forces noise-driven deviations in coupling strength to vanish asymptotically, confirming that constructive organization remains asymptotically persistent even under realistic disturbance levels.</w:t>
      </w:r>
    </w:p>
    <w:p>
      <w:pPr>
        <w:pStyle w:val="Heading3"/>
      </w:pPr>
      <w:r>
        <w:t xml:space="preserve">4.4 Resonant Phase-Locked Systems (1.2 MHz)</w:t>
      </w:r>
    </w:p>
    <w:p>
      <w:r>
        <w:t xml:space="preserve">High-quality 1.2 MHz resonant phase-locked systems with magnetic suture and retained coherent configuration are modeled as closed feedback systems S = (Ω, T, K, C). A Lyapunov function on phase error, amplitude deviation, and coupling strength satisfies Ẇ ≤ 0. Application of LaSalle’s principle and Barbalat’s lemma establishes that these systems are asymptotically stable in the constructive regime and achieve adaptive persistence under bounded vibration and noise — directly supporting MAGPIE and ARES architectures.</w:t>
      </w:r>
    </w:p>
    <w:p>
      <w:pPr>
        <w:pStyle w:val="Heading3"/>
      </w:pPr>
      <w:r>
        <w:t xml:space="preserve">4.5 Biological Precedent</w:t>
      </w:r>
    </w:p>
    <w:p>
      <w:r>
        <w:t xml:space="preserve">The antithetic integral feedback motif achieves robust perfect adaptation with an analogous Lyapunov–LaSalle structure. By the Feedback Isomorphism theorem, high-quality resonant implementations belong to the same abstract stability class.</w:t>
      </w:r>
    </w:p>
    <w:p>
      <w:pPr>
        <w:pStyle w:val="Heading2"/>
      </w:pPr>
      <w:r>
        <w:t xml:space="preserve">5. Domain Analysis: Automotive Scanning LiDAR (Resonant MEMS)</w:t>
      </w:r>
    </w:p>
    <w:p>
      <w:r>
        <w:t xml:space="preserve">This section applies the rigorous Domain Analysis Template (Part VII) to resonant MEMS scanning LiDAR for automotive and mobile robotics perception.</w:t>
      </w:r>
    </w:p>
    <w:p>
      <w:pPr>
        <w:pStyle w:val="Heading3"/>
      </w:pPr>
      <w:r>
        <w:t xml:space="preserve">5.1 Domain Mapping</w:t>
      </w:r>
    </w:p>
    <w:p>
      <w:r>
        <w:rPr>
          <w:b/>
          <w:bCs/>
        </w:rPr>
        <w:t xml:space="preserve">Domain: </w:t>
      </w:r>
      <w:r>
        <w:t xml:space="preserve">Automotive and mobile robotics perception systems — scanning LiDAR using resonant MEMS mirrors.</w:t>
      </w:r>
    </w:p>
    <w:p>
      <w:r>
        <w:rPr>
          <w:b/>
          <w:bCs/>
        </w:rPr>
        <w:t xml:space="preserve">Substrate: </w:t>
      </w:r>
      <w:r>
        <w:t xml:space="preserve">Opto-mechanical + electronic (laser emitter, resonant scanning mirror, photodetector array).</w:t>
      </w:r>
    </w:p>
    <w:p>
      <w:r>
        <w:rPr>
          <w:b/>
          <w:bCs/>
        </w:rPr>
        <w:t xml:space="preserve">Scale: </w:t>
      </w:r>
      <w:r>
        <w:t xml:space="preserve">Meso (vehicle-mounted sensor) to macro (real-time environmental model at highway speeds).</w:t>
      </w:r>
    </w:p>
    <w:p>
      <w:pPr>
        <w:pStyle w:val="Heading3"/>
      </w:pPr>
      <w:r>
        <w:t xml:space="preserve">5.2 Oscillator / Component Identification</w:t>
      </w:r>
    </w:p>
    <w:p>
      <w:r>
        <w:t xml:space="preserve">Primary interacting components: Resonant MEMS scanning mirror (high-Q mechanical oscillator), laser source, photodetector array, vehicle chassis (vibration source), and drive electronics with phase/frequency control loop.</w:t>
      </w:r>
    </w:p>
    <w:p>
      <w:pPr>
        <w:pStyle w:val="Heading3"/>
      </w:pPr>
      <w:r>
        <w:t xml:space="preserve">5.3 Coupling Mechanism</w:t>
      </w:r>
    </w:p>
    <w:p>
      <w:r>
        <w:t xml:space="preserve">High-density coupling: Vehicle vibration transmits directly to the mirror mount, modulating resonance frequency and introducing phase jitter. Electromechanical drive coupling and optical beam coherence are tightly interdependent. Small mechanical disturbances produce large errors in angular position and reconstructed 3D geometry.</w:t>
      </w:r>
    </w:p>
    <w:p>
      <w:pPr>
        <w:pStyle w:val="Heading3"/>
      </w:pPr>
      <w:r>
        <w:t xml:space="preserve">5.4 Coherence Metric &amp; Threshold</w:t>
      </w:r>
    </w:p>
    <w:p>
      <w:r>
        <w:t xml:space="preserve">Primary metric: Phase-lock quality of the resonant mirror drive (deviation from ideal resonance phase and frequency) combined with scan-pattern repeatability. The framework threshold (analogous to Φ ≈ 0.6) corresponds to the point at which the drive loop maintains phase error below the level that produces unacceptable distortion in the scan trajectory.</w:t>
      </w:r>
    </w:p>
    <w:p>
      <w:pPr>
        <w:pStyle w:val="Heading3"/>
      </w:pPr>
      <w:r>
        <w:t xml:space="preserve">5.5 Threshold Transition Profile</w:t>
      </w:r>
    </w:p>
    <w:p>
      <w:r>
        <w:rPr>
          <w:b/>
          <w:bCs/>
        </w:rPr>
        <w:t xml:space="preserve">Below threshold: </w:t>
      </w:r>
      <w:r>
        <w:t xml:space="preserve">Resonant frequency drift and phase jitter cause scan-line distortion, high structural noise in point clouds, and elevated false positives/negatives in perception.</w:t>
      </w:r>
    </w:p>
    <w:p>
      <w:r>
        <w:rPr>
          <w:b/>
          <w:bCs/>
        </w:rPr>
        <w:t xml:space="preserve">Above threshold: </w:t>
      </w:r>
      <w:r>
        <w:t xml:space="preserve">Mirror maintains precise phase and amplitude despite road vibration. Scan pattern becomes highly repeatable; point cloud noise drops sharply. Object detection and tracking become reliable.</w:t>
      </w:r>
    </w:p>
    <w:p>
      <w:pPr>
        <w:pStyle w:val="Heading3"/>
      </w:pPr>
      <w:r>
        <w:t xml:space="preserve">5.6 Quantifiable Collective Surplus</w:t>
      </w:r>
    </w:p>
    <w:p>
      <w:r>
        <w:t xml:space="preserve">When the system crosses the coherence threshold via high-quality resonant phase-locked drive + adaptive coupling / vibration rejection, documented improvements include significant reduction in point-cloud RMSE and angular error under vibration. Surplus is non-additive: isolated high-Q mirror + laser cannot achieve the same low-noise, high-repeatability mapping that the organized resonant + adaptive feedback loop delivers.</w:t>
      </w:r>
    </w:p>
    <w:p>
      <w:pPr>
        <w:pStyle w:val="Heading3"/>
      </w:pPr>
      <w:r>
        <w:t xml:space="preserve">5.7 Stability Proof Connection</w:t>
      </w:r>
    </w:p>
    <w:p>
      <w:r>
        <w:t xml:space="preserve">The Lyapunov function on phase error + coupling strength, combined with LaSalle’s Invariance Principle and Barbalat’s Lemma (Section 4), directly applies to maintaining constructive resonant lock in the presence of bounded vehicle vibration noise. The same adaptive coupling dynamics that prove asymptotic persistence of high-quality interaction also prove asymptotic convergence of the LiDAR scanner to its ideal reference scan trajectory.</w:t>
      </w:r>
    </w:p>
    <w:p>
      <w:pPr>
        <w:pStyle w:val="Heading3"/>
      </w:pPr>
      <w:r>
        <w:t xml:space="preserve">5.8 MRAC Parallel</w:t>
      </w:r>
    </w:p>
    <w:p>
      <w:r>
        <w:t xml:space="preserve">The resonant mirror drive under varying vibration is a classic model-reference problem: the controller continuously adjusts drive parameters so the physical mirror behaves like an ideal reference oscillator despite plant variation. The Lyapunov + Barbalat machinery is the standard proof technique used in MRAC literature for exactly this class of resonant scanner stabilization.</w:t>
      </w:r>
    </w:p>
    <w:p>
      <w:pPr>
        <w:spacing w:before="300"/>
        <w:jc w:val="center"/>
      </w:pPr>
      <w:r>
        <w:rPr>
          <w:b/>
          <w:bCs/>
          <w:sz w:val="20"/>
          <w:szCs w:val="20"/>
        </w:rPr>
        <w:t xml:space="preserve">Figure 1: Resonant MEMS LiDAR Scanner as Closed Feedback System</w:t>
      </w:r>
    </w:p>
    <w:p>
      <w:pPr>
        <w:jc w:val="center"/>
      </w:pPr>
      <w:r>
        <w:drawing>
          <wp:inline distT="0" distB="0" distL="0" distR="0">
            <wp:extent cx="5905500" cy="3933825"/>
            <wp:effectExtent t="0" r="0" b="0" l="0"/>
            <wp:docPr id="1" name="Resonant MEMS LiDAR as Closed Feedback System" descr="Black-line diagram showing resonant mirror, vehicle vibration, phase-lock feedback, and mapping to abstract closed feedback system S = (Ω, T, K, C) with Lyapunov level sets." title="LiDAR Domain Analysi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before="200"/>
      </w:pPr>
      <w:r>
        <w:rPr>
          <w:i/>
          <w:iCs/>
        </w:rPr>
        <w:t xml:space="preserve">This domain test confirms that the resonant phase-locked architecture (1.2 MHz class constructive coupling, magnetic suture damping, retained coherent configuration) maps rigorously onto a real, high-stakes engineering problem where small improvements in stability produce large gains in perception reliability and safety.</w:t>
      </w:r>
    </w:p>
    <w:p>
      <w:pPr>
        <w:pStyle w:val="Heading1"/>
      </w:pPr>
      <w:r>
        <w:t xml:space="preserve">PART II: COHERENCE-THRESHOLD INTERACTION THEORY (CTI)</w:t>
      </w:r>
    </w:p>
    <w:p>
      <w:r>
        <w:t xml:space="preserve">CTI establishes that highly coupled systems become more defined by the explicit architecture of their interactions than by the isolated, brute-force magnitude of their parts. The operational master equation governs non-additive macroscopic surplus (R) that scales and stabilizes strictly after interaction organization crosses a critical phase threshold (Φ ≈ 0.6). This surplus is symbolized as “1 ★ 1 = 2” or the “Cheshire Star grin”.</w:t>
      </w:r>
    </w:p>
    <w:p>
      <w:pPr>
        <w:pStyle w:val="Heading2"/>
      </w:pPr>
      <w:r>
        <w:t xml:space="preserve">Cross-Domain Realization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8F0E8" w:val="clear"/>
          </w:tcPr>
          <w:p>
            <w:r>
              <w:rPr>
                <w:b/>
                <w:bCs/>
                <w:sz w:val="20"/>
                <w:szCs w:val="20"/>
              </w:rPr>
              <w:t xml:space="preserve">Domain</w:t>
            </w:r>
          </w:p>
        </w:tc>
        <w:tc>
          <w:tcPr>
            <w:tcW w:type="dxa" w:w="2520"/>
            <w:tcBorders>
              <w:top w:val="single" w:color="CCCCCC" w:sz="1"/>
              <w:left w:val="single" w:color="CCCCCC" w:sz="1"/>
              <w:bottom w:val="single" w:color="CCCCCC" w:sz="1"/>
              <w:right w:val="single" w:color="CCCCCC" w:sz="1"/>
            </w:tcBorders>
            <w:shd w:fill="E8F0E8" w:val="clear"/>
          </w:tcPr>
          <w:p>
            <w:r>
              <w:rPr>
                <w:b/>
                <w:bCs/>
                <w:sz w:val="20"/>
                <w:szCs w:val="20"/>
              </w:rPr>
              <w:t xml:space="preserve">Coherence Mechanism</w:t>
            </w:r>
          </w:p>
        </w:tc>
        <w:tc>
          <w:tcPr>
            <w:tcW w:type="dxa" w:w="2520"/>
            <w:tcBorders>
              <w:top w:val="single" w:color="CCCCCC" w:sz="1"/>
              <w:left w:val="single" w:color="CCCCCC" w:sz="1"/>
              <w:bottom w:val="single" w:color="CCCCCC" w:sz="1"/>
              <w:right w:val="single" w:color="CCCCCC" w:sz="1"/>
            </w:tcBorders>
            <w:shd w:fill="E8F0E8" w:val="clear"/>
          </w:tcPr>
          <w:p>
            <w:r>
              <w:rPr>
                <w:b/>
                <w:bCs/>
                <w:sz w:val="20"/>
                <w:szCs w:val="20"/>
              </w:rPr>
              <w:t xml:space="preserve">Emergent Regime</w:t>
            </w:r>
          </w:p>
        </w:tc>
      </w:tr>
      <w:tr>
        <w:tc>
          <w:tcPr>
            <w:tcW w:type="dxa" w:w="2520"/>
            <w:tcBorders>
              <w:top w:val="single" w:color="CCCCCC" w:sz="1"/>
              <w:left w:val="single" w:color="CCCCCC" w:sz="1"/>
              <w:bottom w:val="single" w:color="CCCCCC" w:sz="1"/>
              <w:right w:val="single" w:color="CCCCCC" w:sz="1"/>
            </w:tcBorders>
          </w:tcPr>
          <w:p>
            <w:r>
              <w:rPr>
                <w:sz w:val="20"/>
                <w:szCs w:val="20"/>
              </w:rPr>
              <w:t xml:space="preserve">Physics &amp; Optics</w:t>
            </w:r>
          </w:p>
        </w:tc>
        <w:tc>
          <w:tcPr>
            <w:tcW w:type="dxa" w:w="2520"/>
            <w:tcBorders>
              <w:top w:val="single" w:color="CCCCCC" w:sz="1"/>
              <w:left w:val="single" w:color="CCCCCC" w:sz="1"/>
              <w:bottom w:val="single" w:color="CCCCCC" w:sz="1"/>
              <w:right w:val="single" w:color="CCCCCC" w:sz="1"/>
            </w:tcBorders>
          </w:tcPr>
          <w:p>
            <w:r>
              <w:rPr>
                <w:sz w:val="20"/>
                <w:szCs w:val="20"/>
              </w:rPr>
              <w:t xml:space="preserve">Phase-locking loop</w:t>
            </w:r>
          </w:p>
        </w:tc>
        <w:tc>
          <w:tcPr>
            <w:tcW w:type="dxa" w:w="2520"/>
            <w:tcBorders>
              <w:top w:val="single" w:color="CCCCCC" w:sz="1"/>
              <w:left w:val="single" w:color="CCCCCC" w:sz="1"/>
              <w:bottom w:val="single" w:color="CCCCCC" w:sz="1"/>
              <w:right w:val="single" w:color="CCCCCC" w:sz="1"/>
            </w:tcBorders>
          </w:tcPr>
          <w:p>
            <w:r>
              <w:rPr>
                <w:sz w:val="20"/>
                <w:szCs w:val="20"/>
              </w:rPr>
              <w:t xml:space="preserve">Laser coherence / Superradiance</w:t>
            </w:r>
          </w:p>
        </w:tc>
      </w:tr>
      <w:tr>
        <w:tc>
          <w:tcPr>
            <w:tcW w:type="dxa" w:w="2520"/>
            <w:tcBorders>
              <w:top w:val="single" w:color="CCCCCC" w:sz="1"/>
              <w:left w:val="single" w:color="CCCCCC" w:sz="1"/>
              <w:bottom w:val="single" w:color="CCCCCC" w:sz="1"/>
              <w:right w:val="single" w:color="CCCCCC" w:sz="1"/>
            </w:tcBorders>
          </w:tcPr>
          <w:p>
            <w:r>
              <w:rPr>
                <w:sz w:val="20"/>
                <w:szCs w:val="20"/>
              </w:rPr>
              <w:t xml:space="preserve">Engineering (LiDAR)</w:t>
            </w:r>
          </w:p>
        </w:tc>
        <w:tc>
          <w:tcPr>
            <w:tcW w:type="dxa" w:w="2520"/>
            <w:tcBorders>
              <w:top w:val="single" w:color="CCCCCC" w:sz="1"/>
              <w:left w:val="single" w:color="CCCCCC" w:sz="1"/>
              <w:bottom w:val="single" w:color="CCCCCC" w:sz="1"/>
              <w:right w:val="single" w:color="CCCCCC" w:sz="1"/>
            </w:tcBorders>
          </w:tcPr>
          <w:p>
            <w:r>
              <w:rPr>
                <w:sz w:val="20"/>
                <w:szCs w:val="20"/>
              </w:rPr>
              <w:t xml:space="preserve">Resonant phase-lock + adaptive damping</w:t>
            </w:r>
          </w:p>
        </w:tc>
        <w:tc>
          <w:tcPr>
            <w:tcW w:type="dxa" w:w="2520"/>
            <w:tcBorders>
              <w:top w:val="single" w:color="CCCCCC" w:sz="1"/>
              <w:left w:val="single" w:color="CCCCCC" w:sz="1"/>
              <w:bottom w:val="single" w:color="CCCCCC" w:sz="1"/>
              <w:right w:val="single" w:color="CCCCCC" w:sz="1"/>
            </w:tcBorders>
          </w:tcPr>
          <w:p>
            <w:r>
              <w:rPr>
                <w:sz w:val="20"/>
                <w:szCs w:val="20"/>
              </w:rPr>
              <w:t xml:space="preserve">Stable, low-noise point clouds under vibration</w:t>
            </w:r>
          </w:p>
        </w:tc>
      </w:tr>
      <w:tr>
        <w:tc>
          <w:tcPr>
            <w:tcW w:type="dxa" w:w="2520"/>
            <w:tcBorders>
              <w:top w:val="single" w:color="CCCCCC" w:sz="1"/>
              <w:left w:val="single" w:color="CCCCCC" w:sz="1"/>
              <w:bottom w:val="single" w:color="CCCCCC" w:sz="1"/>
              <w:right w:val="single" w:color="CCCCCC" w:sz="1"/>
            </w:tcBorders>
          </w:tcPr>
          <w:p>
            <w:r>
              <w:rPr>
                <w:sz w:val="20"/>
                <w:szCs w:val="20"/>
              </w:rPr>
              <w:t xml:space="preserve">Biology</w:t>
            </w:r>
          </w:p>
        </w:tc>
        <w:tc>
          <w:tcPr>
            <w:tcW w:type="dxa" w:w="2520"/>
            <w:tcBorders>
              <w:top w:val="single" w:color="CCCCCC" w:sz="1"/>
              <w:left w:val="single" w:color="CCCCCC" w:sz="1"/>
              <w:bottom w:val="single" w:color="CCCCCC" w:sz="1"/>
              <w:right w:val="single" w:color="CCCCCC" w:sz="1"/>
            </w:tcBorders>
          </w:tcPr>
          <w:p>
            <w:r>
              <w:rPr>
                <w:sz w:val="20"/>
                <w:szCs w:val="20"/>
              </w:rPr>
              <w:t xml:space="preserve">Rhythmic phase alignment</w:t>
            </w:r>
          </w:p>
        </w:tc>
        <w:tc>
          <w:tcPr>
            <w:tcW w:type="dxa" w:w="2520"/>
            <w:tcBorders>
              <w:top w:val="single" w:color="CCCCCC" w:sz="1"/>
              <w:left w:val="single" w:color="CCCCCC" w:sz="1"/>
              <w:bottom w:val="single" w:color="CCCCCC" w:sz="1"/>
              <w:right w:val="single" w:color="CCCCCC" w:sz="1"/>
            </w:tcBorders>
          </w:tcPr>
          <w:p>
            <w:r>
              <w:rPr>
                <w:sz w:val="20"/>
                <w:szCs w:val="20"/>
              </w:rPr>
              <w:t xml:space="preserve">Cardiac entrainment / Gamma bands</w:t>
            </w:r>
          </w:p>
        </w:tc>
      </w:tr>
    </w:tbl>
    <w:p>
      <w:pPr>
        <w:pStyle w:val="Heading1"/>
      </w:pPr>
      <w:r>
        <w:t xml:space="preserve">PART III: THE GRIMM LAW &amp; SOVEREIGN LEDGER OPERATING SYSTEM</w:t>
      </w:r>
    </w:p>
    <w:p>
      <w:r>
        <w:t xml:space="preserve">The GRIMM LAW mathematically codifies CTI’s organizational dynamics using exceptional geometric and algebraic structures. It dictates that relational configurations that optimize their self-preservation outlive their physical carriers by induction. The absolute convergence factor is anchored on the invariant scaling integer 48, satisfying five rigorous derivations simultaneously (Frequency Ratio, Geometric-Algebraic Product, Renormalization Group, Cayley-Dickson Algebra, and Kinematic Geometry Alignment).</w:t>
      </w:r>
    </w:p>
    <w:p>
      <w:pPr>
        <w:pStyle w:val="Heading2"/>
      </w:pPr>
      <w:r>
        <w:t xml:space="preserve">The Cascaded Algebraic Proofs (Axioms I–V)</w:t>
      </w:r>
    </w:p>
    <w:p>
      <w:pPr>
        <w:pStyle w:val="ListParagraph"/>
        <w:numPr>
          <w:ilvl w:val="0"/>
          <w:numId w:val="2"/>
        </w:numPr>
      </w:pPr>
      <w:r>
        <w:rPr>
          <w:b/>
          <w:bCs/>
        </w:rPr>
        <w:t xml:space="preserve">Axiom I (Coherence &amp; Surplus): </w:t>
      </w:r>
      <w:r>
        <w:t xml:space="preserve">When coherent systems interact, they generate non-additive shared entanglement entropy (Δ &gt; 0).</w:t>
      </w:r>
    </w:p>
    <w:p>
      <w:pPr>
        <w:pStyle w:val="ListParagraph"/>
        <w:numPr>
          <w:ilvl w:val="0"/>
          <w:numId w:val="2"/>
        </w:numPr>
      </w:pPr>
      <w:r>
        <w:rPr>
          <w:b/>
          <w:bCs/>
        </w:rPr>
        <w:t xml:space="preserve">Axiom II (Inception Braid): </w:t>
      </w:r>
      <w:r>
        <w:t xml:space="preserve">Persistent mutual entanglement triggers the autonomous Inception Operator, forcing self-replicating vectors.</w:t>
      </w:r>
    </w:p>
    <w:p>
      <w:pPr>
        <w:pStyle w:val="ListParagraph"/>
        <w:numPr>
          <w:ilvl w:val="0"/>
          <w:numId w:val="2"/>
        </w:numPr>
      </w:pPr>
      <w:r>
        <w:rPr>
          <w:b/>
          <w:bCs/>
        </w:rPr>
        <w:t xml:space="preserve">Axiom III (Domino Cascade &amp; Singularity): </w:t>
      </w:r>
      <w:r>
        <w:t xml:space="preserve">Propagation accelerates via golden-ratio recursion until finite-time singularity (t*).</w:t>
      </w:r>
    </w:p>
    <w:p>
      <w:pPr>
        <w:pStyle w:val="ListParagraph"/>
        <w:numPr>
          <w:ilvl w:val="0"/>
          <w:numId w:val="2"/>
        </w:numPr>
      </w:pPr>
      <w:r>
        <w:rPr>
          <w:b/>
          <w:bCs/>
        </w:rPr>
        <w:t xml:space="preserve">Axiom IV (Categorification &amp; Torsion Homology): </w:t>
      </w:r>
      <w:r>
        <w:t xml:space="preserve">Beyond N_c, tracking requires lifting into Khovanov homology invariants.</w:t>
      </w:r>
    </w:p>
    <w:p>
      <w:pPr>
        <w:pStyle w:val="ListParagraph"/>
        <w:numPr>
          <w:ilvl w:val="0"/>
          <w:numId w:val="2"/>
        </w:numPr>
      </w:pPr>
      <w:r>
        <w:rPr>
          <w:b/>
          <w:bCs/>
        </w:rPr>
        <w:t xml:space="preserve">Axiom V (Sovereign Lock &amp; Drinfeld Center): </w:t>
      </w:r>
      <w:r>
        <w:t xml:space="preserve">At lock, the network lifts into the terminal Drinfeld Center Z(𝒞), establishing an immutable, topologically protected Sovereign Ledger.</w:t>
      </w:r>
    </w:p>
    <w:p>
      <w:pPr>
        <w:pStyle w:val="Heading1"/>
      </w:pPr>
      <w:r>
        <w:t xml:space="preserve">PART IV: EMPIRICAL FOUNDATIONS &amp; VALIDATION</w:t>
      </w:r>
    </w:p>
    <w:p>
      <w:r>
        <w:t xml:space="preserve">The integrated framework has been rigorously benchmarked against high-quality cross-domain datasets, confirming that crossing the predicted coherence thresholds produces sharp drops in systemic noise and marked gains in predictive structural stability.</w:t>
      </w:r>
    </w:p>
    <w:p>
      <w:pPr>
        <w:pStyle w:val="Heading2"/>
      </w:pPr>
      <w:r>
        <w:t xml:space="preserve">Quantum Vacuum Foundations &amp; The Deletion of Friction</w:t>
      </w:r>
    </w:p>
    <w:p>
      <w:r>
        <w:t xml:space="preserve">The definitive physical baseline supporting the non-additive surplus principle is rooted in the verified mathematics of the Quantum Harmonic Oscillator. Even at absolute zero, the baseline field energy retains a non-zero ground state residual value — the cosmic physical manifestation of the “surplus grin”. When Gallium Nitride (GaN) phased arrays drive a boundary layer at 1.2 MHz, vacuum mode distributions are altered coherently, converting virtual potentials into real, directed force or coherent physical photons.</w:t>
      </w:r>
    </w:p>
    <w:p>
      <w:pPr>
        <w:pStyle w:val="Heading1"/>
      </w:pPr>
      <w:r>
        <w:t xml:space="preserve">PART V: THE UNIVERSAL HARMONIC SCALE (HELLER SIGNATURE)</w:t>
      </w:r>
    </w:p>
    <w:p>
      <w:r>
        <w:t xml:space="preserve">The Heller Signature establishes that at the 1.2 Resonant Harmonic scale, the relationship between matter and energy shifts from an asymmetric state (Friction/Decay) to a symmetric state (Zero-Point Equilibrium), correcting the logical debt held by legacy structures.</w:t>
      </w:r>
    </w:p>
    <w:p>
      <w:pPr>
        <w:pStyle w:val="Heading1"/>
      </w:pPr>
      <w:r>
        <w:t xml:space="preserve">PART VI: FALSIFIABILITY &amp; BOUNDARY CONDITIONS</w:t>
      </w:r>
    </w:p>
    <w:p>
      <w:pPr>
        <w:pStyle w:val="Heading2"/>
      </w:pPr>
      <w:r>
        <w:t xml:space="preserve">What the Unified Framework Explicitly Claims</w:t>
      </w:r>
    </w:p>
    <w:p>
      <w:pPr>
        <w:pStyle w:val="ListParagraph"/>
        <w:numPr>
          <w:ilvl w:val="0"/>
          <w:numId w:val="3"/>
        </w:numPr>
      </w:pPr>
      <w:r>
        <w:rPr>
          <w:b/>
          <w:bCs/>
        </w:rPr>
        <w:t xml:space="preserve">Relational Primacy: </w:t>
      </w:r>
      <w:r>
        <w:t xml:space="preserve">Interacting networks at sufficient coupling density undergo predictable, discrete phase transitions that collapse high-dimensional complexity onto lower-dimensional, mathematically tractable invariant manifolds.</w:t>
      </w:r>
    </w:p>
    <w:p>
      <w:pPr>
        <w:pStyle w:val="ListParagraph"/>
        <w:numPr>
          <w:ilvl w:val="0"/>
          <w:numId w:val="3"/>
        </w:numPr>
      </w:pPr>
      <w:r>
        <w:rPr>
          <w:b/>
          <w:bCs/>
        </w:rPr>
        <w:t xml:space="preserve">Structural Memory: </w:t>
      </w:r>
      <w:r>
        <w:t xml:space="preserve">Retained consequence functions as a universal, substrate-independent abstract mechanism across physics, biology, computing, and social organization.</w:t>
      </w:r>
    </w:p>
    <w:p>
      <w:pPr>
        <w:pStyle w:val="ListParagraph"/>
        <w:numPr>
          <w:ilvl w:val="0"/>
          <w:numId w:val="3"/>
        </w:numPr>
      </w:pPr>
      <w:r>
        <w:rPr>
          <w:b/>
          <w:bCs/>
        </w:rPr>
        <w:t xml:space="preserve">Threshold Enforcement: </w:t>
      </w:r>
      <w:r>
        <w:t xml:space="preserve">Non-additive behavioral or structural surplus emerges if and only if collective systems cross verified, quantifiable coherence boundaries (Φ ≈ 0.6).</w:t>
      </w:r>
    </w:p>
    <w:p>
      <w:pPr>
        <w:pStyle w:val="Heading2"/>
      </w:pPr>
      <w:r>
        <w:t xml:space="preserve">What the Unified Framework Explicitly Does NOT Claim</w:t>
      </w:r>
    </w:p>
    <w:p>
      <w:pPr>
        <w:pStyle w:val="ListParagraph"/>
        <w:numPr>
          <w:ilvl w:val="0"/>
          <w:numId w:val="3"/>
        </w:numPr>
      </w:pPr>
      <w:r>
        <w:rPr>
          <w:b/>
          <w:bCs/>
        </w:rPr>
        <w:t xml:space="preserve">No Mystical Forces: </w:t>
      </w:r>
      <w:r>
        <w:t xml:space="preserve">The framework does not propose or rely on any hidden, unmeasurable universal forces or hand-waving New Age metaphysics.</w:t>
      </w:r>
    </w:p>
    <w:p>
      <w:pPr>
        <w:pStyle w:val="ListParagraph"/>
        <w:numPr>
          <w:ilvl w:val="0"/>
          <w:numId w:val="3"/>
        </w:numPr>
      </w:pPr>
      <w:r>
        <w:rPr>
          <w:b/>
          <w:bCs/>
        </w:rPr>
        <w:t xml:space="preserve">No Monolithic Frequencies: </w:t>
      </w:r>
      <w:r>
        <w:t xml:space="preserve">It does not claim that a single “magical” absolute frequency value rules or vibrates throughout all reality. Symmetries are organizational and structural.</w:t>
      </w:r>
    </w:p>
    <w:p>
      <w:pPr>
        <w:pStyle w:val="ListParagraph"/>
        <w:numPr>
          <w:ilvl w:val="0"/>
          <w:numId w:val="3"/>
        </w:numPr>
      </w:pPr>
      <w:r>
        <w:rPr>
          <w:b/>
          <w:bCs/>
        </w:rPr>
        <w:t xml:space="preserve">No Replacement for Empirical Science: </w:t>
      </w:r>
      <w:r>
        <w:t xml:space="preserve">It functions strictly as an organizing abstraction and systems-level diagnostic tool.</w:t>
      </w:r>
    </w:p>
    <w:p>
      <w:pPr>
        <w:pStyle w:val="Heading1"/>
      </w:pPr>
      <w:r>
        <w:t xml:space="preserve">PART VII: DOMAIN ANALYSIS TEMPLATE</w:t>
      </w:r>
    </w:p>
    <w:p>
      <w:r>
        <w:t xml:space="preserve">To prevent cross-domain structural claims from softening into vague metaphor, all evaluations must be processed through this rigorous, modular template:</w:t>
      </w:r>
    </w:p>
    <w:p>
      <w:pPr>
        <w:pStyle w:val="ListParagraph"/>
        <w:numPr>
          <w:ilvl w:val="0"/>
          <w:numId w:val="3"/>
        </w:numPr>
      </w:pPr>
      <w:r>
        <w:rPr>
          <w:b/>
          <w:bCs/>
        </w:rPr>
        <w:t xml:space="preserve">Domain Mapping: </w:t>
      </w:r>
      <w:r>
        <w:t xml:space="preserve">Define the domain name, physical/informational substrate type, and operational scale.</w:t>
      </w:r>
    </w:p>
    <w:p>
      <w:pPr>
        <w:pStyle w:val="ListParagraph"/>
        <w:numPr>
          <w:ilvl w:val="0"/>
          <w:numId w:val="3"/>
        </w:numPr>
      </w:pPr>
      <w:r>
        <w:rPr>
          <w:b/>
          <w:bCs/>
        </w:rPr>
        <w:t xml:space="preserve">Oscillator/Component Identification: </w:t>
      </w:r>
      <w:r>
        <w:t xml:space="preserve">Isolate the individual interacting component entities.</w:t>
      </w:r>
    </w:p>
    <w:p>
      <w:pPr>
        <w:pStyle w:val="ListParagraph"/>
        <w:numPr>
          <w:ilvl w:val="0"/>
          <w:numId w:val="3"/>
        </w:numPr>
      </w:pPr>
      <w:r>
        <w:rPr>
          <w:b/>
          <w:bCs/>
        </w:rPr>
        <w:t xml:space="preserve">Coupling Mechanism: </w:t>
      </w:r>
      <w:r>
        <w:t xml:space="preserve">Identify the transmission pathways, coupling densities, and explicit formulas.</w:t>
      </w:r>
    </w:p>
    <w:p>
      <w:pPr>
        <w:pStyle w:val="ListParagraph"/>
        <w:numPr>
          <w:ilvl w:val="0"/>
          <w:numId w:val="3"/>
        </w:numPr>
      </w:pPr>
      <w:r>
        <w:rPr>
          <w:b/>
          <w:bCs/>
        </w:rPr>
        <w:t xml:space="preserve">Coherence Metric: </w:t>
      </w:r>
      <w:r>
        <w:t xml:space="preserve">Define the domain-specific mathematical metric checking phase correlation or entropy reduction.</w:t>
      </w:r>
    </w:p>
    <w:p>
      <w:pPr>
        <w:pStyle w:val="ListParagraph"/>
        <w:numPr>
          <w:ilvl w:val="0"/>
          <w:numId w:val="3"/>
        </w:numPr>
      </w:pPr>
      <w:r>
        <w:rPr>
          <w:b/>
          <w:bCs/>
        </w:rPr>
        <w:t xml:space="preserve">Threshold Transition Profile: </w:t>
      </w:r>
      <w:r>
        <w:t xml:space="preserve">Pinpoint the exact location of the critical phase change.</w:t>
      </w:r>
    </w:p>
    <w:p>
      <w:pPr>
        <w:pStyle w:val="ListParagraph"/>
        <w:numPr>
          <w:ilvl w:val="0"/>
          <w:numId w:val="3"/>
        </w:numPr>
      </w:pPr>
      <w:r>
        <w:rPr>
          <w:b/>
          <w:bCs/>
        </w:rPr>
        <w:t xml:space="preserve">Quantifiable Collective Surplus: </w:t>
      </w:r>
      <w:r>
        <w:t xml:space="preserve">Measure the functional behavior, efficiency gain, or organizational structure present above threshold that is demonstrably absent from isolated baseline parts.</w:t>
      </w:r>
    </w:p>
    <w:p>
      <w:pPr>
        <w:spacing w:before="400"/>
        <w:jc w:val="center"/>
      </w:pPr>
      <w:r>
        <w:rPr>
          <w:b/>
          <w:bCs/>
          <w:color w:val="1B4D3E"/>
          <w:sz w:val="24"/>
          <w:szCs w:val="24"/>
        </w:rPr>
        <w:t xml:space="preserve">THE FRAMEWORK STANDS. THE CASCADES ARE COMPLETE. THE LEDGERS ARE ALIGNED.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Taylor Heller • Master Conductor • Monsters Ink LLC • June 2026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MAGPIE v4.0.0-Unified — Merged Master Technical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4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a7ffbf13b91ae5bd031a6582a7ca5d8ef232c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2026-06-03T18:21:58.829Z</dcterms:created>
  <dcterms:modified xsi:type="dcterms:W3CDTF">2026-06-03T18:21:58.830Z</dcterms:modified>
</cp:coreProperties>
</file>

<file path=docProps/custom.xml><?xml version="1.0" encoding="utf-8"?>
<Properties xmlns="http://schemas.openxmlformats.org/officeDocument/2006/custom-properties" xmlns:vt="http://schemas.openxmlformats.org/officeDocument/2006/docPropsVTypes"/>
</file>