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f135054baccb4db6" /><Relationship Type="http://schemas.openxmlformats.org/package/2006/relationships/metadata/core-properties" Target="/package/services/metadata/core-properties/f4e2c1a7577e4142a1d48d9e46cda930.psmdcp" Id="R90450a40c8484eff"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writes to reference valid company master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4.1.1.5.22 Inventory Posting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inventory workflows to post approved source documents exactly once.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post receipts and issues atomically without negative stock.</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workflows to query company-scoped on-hand balances derived from immutable movements.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inv_reference</w:t>
            </w:r>
          </w:p>
        </w:tc>
      </w:tr>
      <w:tr>
        <w:tc>
          <w:tcPr>
            <w:tcW w:w="2340" w:type="dxa"/>
          </w:tcPr>
          <w:p>
            <w:pPr/>
            <w:r>
              <w:rPr>
                <w:b/>
              </w:rPr>
              <w:t xml:space="preserve">Description</w:t>
            </w:r>
          </w:p>
        </w:tc>
        <w:tc>
          <w:tcPr>
            <w:tcW w:w="7020" w:type="dxa"/>
            <w:gridSpan w:val="3"/>
          </w:tcPr>
          <w:p>
            <w:pPr/>
            <w:r>
              <w:t xml:space="preserve">This table stores immutable inventory source references to master items, warehouses and optional locations.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inv_stock_movement</w:t>
            </w:r>
          </w:p>
        </w:tc>
      </w:tr>
      <w:tr>
        <w:tc>
          <w:tcPr>
            <w:tcW w:w="2340" w:type="dxa"/>
          </w:tcPr>
          <w:p>
            <w:pPr/>
            <w:r>
              <w:rPr>
                <w:b/>
              </w:rPr>
              <w:t xml:space="preserve">Description</w:t>
            </w:r>
          </w:p>
        </w:tc>
        <w:tc>
          <w:tcPr>
            <w:tcW w:w="7020" w:type="dxa"/>
            <w:gridSpan w:val="3"/>
          </w:tcPr>
          <w:p>
            <w:pPr/>
            <w:r>
              <w:t xml:space="preserve">This table stores append-only inventory receipts and issues from approved source documents.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303f2ffcce454be2"/>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ce60459f0af54a1f" /><Relationship Type="http://schemas.openxmlformats.org/officeDocument/2006/relationships/settings" Target="/word/settings.xml" Id="R23957c52848e4b0b" /><Relationship Type="http://schemas.openxmlformats.org/officeDocument/2006/relationships/footer" Target="/word/footer1.xml" Id="R303f2ffcce454be2" /></Relationships>
</file>