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软件构造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软件2023班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 xml:space="preserve">（1）课程目标 1（支撑毕业要求 1.1）达成度为 0.788，掌握软件构造的基本理论与方法**  </w:t>
        <w:br/>
        <w:t>本</w:t>
      </w:r>
    </w:p>
    <w:p>
      <w:r>
        <w:t xml:space="preserve">（2）课程目标 2（支撑毕业要求 2.1）达成度为 0.788，能够应用软件构造技术进行系统设计与实现**  </w:t>
        <w:br/>
        <w:t>平均得分为78.83分，显示学生在实际应用方面仍存在一定的不足。许多学生在系统设计阶段未能合理划分模块或未考虑可扩展性，导致代码结构松散、维护困难。此问题反映出学生在工程实践中缺乏系统思维和规范化的开发意识。建议在教学中引入更多基于真实项目的任务，如使用UML图进行系统设计，同时加强对代码质量的评估和反馈。</w:t>
        <w:br/>
        <w:br/>
        <w:t>**</w:t>
      </w:r>
    </w:p>
    <w:p>
      <w:r>
        <w:t xml:space="preserve">（3）课程目标 3（支撑毕业要求 3.1）达成度为 0.788，具备良好的团队协作与沟通能力**  </w:t>
        <w:br/>
        <w:t>该目标的达成度同样为78.83分，显示出学生在团队合作和沟通方面的能力尚需提升。考试中反映出部分学生在需求分析、任务分配及成果汇报环节表现不佳，影响了整体项目完成质量。这表明在教学中应加强团队协作训练，例如通过角色扮演、模拟项目等方式提高学生的沟通技巧和协作意识。</w:t>
        <w:br/>
        <w:br/>
        <w:t>**</w:t>
      </w:r>
    </w:p>
    <w:p>
      <w:r>
        <w:t xml:space="preserve">（4）课程目标 4（支撑毕业要求 4.1）达成度为 0.788，熟悉软件构造相关工具与环境**  </w:t>
        <w:br/>
        <w:t>平均得分达到78.83分，表明学生对常用软件构造工具（如版本控制、集成开发环境等）有基本了解。然而，部分学生在工具的高级功能使用和跨平台配置等方面仍显生疏。这提示教师在教学中应注重工具的实际操作训练，尤其是对开发环境的搭建和调试流程的详细讲解，以帮助学生更高效地利用工具支持软件开发过程。</w:t>
        <w:br/>
        <w:br/>
        <w:t>---</w:t>
        <w:br/>
        <w:br/>
        <w:t>####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