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扬州大学信息工程学院（人工智能学院）</w:t>
        <w:br/>
        <w:br/>
        <w:t>试 卷 分 析 表</w:t>
        <w:br/>
      </w:r>
    </w:p>
    <w:p>
      <w:pPr>
        <w:jc w:val="center"/>
      </w:pPr>
      <w:r>
        <w:t>（2023-2024学年第 第一学期 学期）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t>课程名称</w:t>
            </w:r>
          </w:p>
        </w:tc>
        <w:tc>
          <w:tcPr>
            <w:tcW w:type="dxa" w:w="3168"/>
          </w:tcPr>
          <w:p>
            <w:r>
              <w:t>软件构造</w:t>
            </w:r>
          </w:p>
        </w:tc>
        <w:tc>
          <w:tcPr>
            <w:tcW w:type="dxa" w:w="3168"/>
          </w:tcPr>
          <w:p>
            <w:r>
              <w:t>命题人</w:t>
            </w:r>
          </w:p>
        </w:tc>
        <w:tc>
          <w:tcPr>
            <w:tcW w:type="dxa" w:w="3168"/>
          </w:tcPr>
          <w:p>
            <w:r>
              <w:t>张三</w:t>
            </w:r>
          </w:p>
        </w:tc>
      </w:tr>
      <w:tr>
        <w:tc>
          <w:tcPr>
            <w:tcW w:type="dxa" w:w="3168"/>
          </w:tcPr>
          <w:p>
            <w:r>
              <w:t>考试班级</w:t>
            </w:r>
          </w:p>
        </w:tc>
        <w:tc>
          <w:tcPr>
            <w:tcW w:type="dxa" w:w="3168"/>
          </w:tcPr>
          <w:p>
            <w:r>
              <w:t>软件2023班</w:t>
            </w:r>
          </w:p>
        </w:tc>
        <w:tc>
          <w:tcPr>
            <w:tcW w:type="dxa" w:w="3168"/>
          </w:tcPr>
          <w:p>
            <w:r>
              <w:t>考试日期</w:t>
            </w:r>
          </w:p>
        </w:tc>
        <w:tc>
          <w:tcPr>
            <w:tcW w:type="dxa" w:w="3168"/>
          </w:tcPr>
          <w:p>
            <w:r>
              <w:t>45275</w:t>
            </w:r>
          </w:p>
        </w:tc>
      </w:tr>
    </w:tbl>
    <w:p>
      <w:pPr>
        <w:pStyle w:val="Heading1"/>
      </w:pPr>
      <w:r>
        <w:br/>
        <w:t>1、试卷成绩分析</w:t>
      </w:r>
    </w:p>
    <w:p>
      <w:pPr>
        <w:pStyle w:val="Heading2"/>
      </w:pPr>
      <w:r>
        <w:t>（1）试卷成绩分布</w:t>
      </w:r>
    </w:p>
    <w:p>
      <w:r>
        <w:t>成绩分布较合理，平均成绩78.83分，优良率50.0%，不及格率16.67%。</w:t>
      </w:r>
    </w:p>
    <w:p>
      <w:r>
        <w:t>成绩分布图如下：</w:t>
      </w:r>
    </w:p>
    <w:p>
      <w:r>
        <w:drawing>
          <wp:inline xmlns:a="http://schemas.openxmlformats.org/drawingml/2006/main" xmlns:pic="http://schemas.openxmlformats.org/drawingml/2006/picture">
            <wp:extent cx="3657600" cy="2052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2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br/>
        <w:t>2、试卷对课程目标的达成度分析</w:t>
      </w:r>
    </w:p>
    <w:p>
      <w:r>
        <w:t xml:space="preserve">（1）课程目标 1（支撑毕业要求 1.1）达成度为 0.788，掌握软件构造的基本概念与原理**  </w:t>
        <w:br/>
        <w:t>平均得分为78.83分，表明学生对软件构造的基础知识有较好的理解。然而，仍存在部分学生在概念理解上存在偏差，例如对模块化设计、接口定义等关键点掌握不够深入。建议在后续教学中加强基础理论的讲解，并结合实例进行对比分析，帮助学生建立清晰的知识框架。此外，可以通过小组讨论和案例分析的方式加深学生的理解和应用能力。</w:t>
        <w:br/>
        <w:br/>
        <w:t>**</w:t>
      </w:r>
    </w:p>
    <w:p>
      <w:r>
        <w:t xml:space="preserve">（2）课程目标 2（支撑毕业要求 2.1）达成度为 0.788，能够运用软件构造方法解决实际问题**  </w:t>
        <w:br/>
        <w:t>平均得分同样为78.83分，反映出学生在应用软件构造方法方面的能力有待提升。许多学生在实际问题的分析和解决方案设计上表现出一定的困难，尤其是在复杂系统的构建和模块之间的交互设计方面。建议增加实践性教学内容，如项目驱动的学习模式，让学生在真实或模拟的项目环境中练习软件构造技能。同时，鼓励学生参与团队合作，通过协作完成任务来提高实际应用能力。</w:t>
        <w:br/>
        <w:br/>
        <w:t>**</w:t>
      </w:r>
    </w:p>
    <w:p>
      <w:r>
        <w:t xml:space="preserve">（3）课程目标 3（支撑毕业要求 3.1）达成度为 0.788，熟悉常用的软件构造工具和技术**  </w:t>
        <w:br/>
        <w:t>平均得分为78.83分，说明学生对常用工具和技术的掌握程度较为均衡。但部分学生在工具的具体使用和配置上存在不足，特别是在多工具协同工作时的流程管理方面。建议在教学中引入更多实际操作环节，如工具的安装、配置和调试，以增强学生的动手能力和技术适应性。同时，可以结合行业标准和最佳实践，引导学生了解并掌握最新的工具和技术趋势。</w:t>
        <w:br/>
        <w:br/>
        <w:t>**</w:t>
      </w:r>
    </w:p>
    <w:p>
      <w:r>
        <w:t xml:space="preserve">（4）课程目标 4（支撑毕业要求 4.1）达成度为 0.788，具备良好的软件构造文档编写能力**  </w:t>
        <w:br/>
        <w:t>平均得分为78.83分，表明学生在文档编写方面有一定的基础，但在规范性和完整性上仍有提升空间。许多学生在文档的结构、内容组织和语言表达上存在不足，导致文档难以满足实际需求。建议在教学中加强文档编写的训练，提供标准化模板和示例，帮助学生掌握正确的文档格式和写作技巧。此外，可以通过评审和反馈机制，促进学生不断改进文档质量。</w:t>
        <w:br/>
        <w:br/>
        <w:t>####</w:t>
      </w:r>
    </w:p>
    <w:p>
      <w:pPr>
        <w:pStyle w:val="Heading1"/>
      </w:pPr>
      <w:r>
        <w:br/>
        <w:t>3、学生答题主要问题分析：</w:t>
      </w:r>
    </w:p>
    <w:p>
      <w:r>
        <w:t>（1）学生基础知识掌握不牢固</w:t>
      </w:r>
    </w:p>
    <w:p>
      <w:r>
        <w:t>（2）综合分析能力有待提高</w:t>
      </w:r>
    </w:p>
    <w:p>
      <w:r>
        <w:t>（3）解题思路不够清晰</w:t>
      </w:r>
    </w:p>
    <w:p>
      <w:r>
        <w:t>（4）答题规范性不足</w:t>
      </w:r>
    </w:p>
    <w:p>
      <w:pPr>
        <w:pStyle w:val="Heading1"/>
      </w:pPr>
      <w:r>
        <w:br/>
        <w:t>4、存在问题及改进措施</w:t>
      </w:r>
    </w:p>
    <w:p>
      <w:r>
        <w:t>（1）加强基础知识的讲解和练习</w:t>
      </w:r>
    </w:p>
    <w:p>
      <w:r>
        <w:t>（2）增加案例分析和讨论环节</w:t>
      </w:r>
    </w:p>
    <w:p>
      <w:r>
        <w:t>（3）提供更多解题思路训练</w:t>
      </w:r>
    </w:p>
    <w:p>
      <w:r>
        <w:t>（4）规范答题格式要求</w:t>
      </w:r>
    </w:p>
    <w:p>
      <w:r>
        <w:br/>
        <w:br/>
        <w:t>签名：</w:t>
        <w:tab/>
        <w:tab/>
        <w:tab/>
        <w:tab/>
        <w:t>年</w:t>
        <w:tab/>
        <w:t>月</w:t>
        <w:tab/>
        <w:t>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