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扬州大学信息工程学院（人工智能学院）</w:t>
        <w:br/>
        <w:br/>
        <w:t>试 卷 分 析 表</w:t>
        <w:br/>
      </w:r>
    </w:p>
    <w:p>
      <w:pPr>
        <w:jc w:val="center"/>
      </w:pPr>
      <w:r>
        <w:t>（2023-2024学年第 第一学期 学期）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t>课程名称</w:t>
            </w:r>
          </w:p>
        </w:tc>
        <w:tc>
          <w:tcPr>
            <w:tcW w:type="dxa" w:w="3168"/>
          </w:tcPr>
          <w:p>
            <w:r>
              <w:t>高等数学</w:t>
            </w:r>
          </w:p>
        </w:tc>
        <w:tc>
          <w:tcPr>
            <w:tcW w:type="dxa" w:w="3168"/>
          </w:tcPr>
          <w:p>
            <w:r>
              <w:t>命题人</w:t>
            </w:r>
          </w:p>
        </w:tc>
        <w:tc>
          <w:tcPr>
            <w:tcW w:type="dxa" w:w="3168"/>
          </w:tcPr>
          <w:p>
            <w:r>
              <w:t>张三</w:t>
            </w:r>
          </w:p>
        </w:tc>
      </w:tr>
      <w:tr>
        <w:tc>
          <w:tcPr>
            <w:tcW w:type="dxa" w:w="3168"/>
          </w:tcPr>
          <w:p>
            <w:r>
              <w:t>考试班级</w:t>
            </w:r>
          </w:p>
        </w:tc>
        <w:tc>
          <w:tcPr>
            <w:tcW w:type="dxa" w:w="3168"/>
          </w:tcPr>
          <w:p>
            <w:r>
              <w:t>数学2023班</w:t>
            </w:r>
          </w:p>
        </w:tc>
        <w:tc>
          <w:tcPr>
            <w:tcW w:type="dxa" w:w="3168"/>
          </w:tcPr>
          <w:p>
            <w:r>
              <w:t>考试日期</w:t>
            </w:r>
          </w:p>
        </w:tc>
        <w:tc>
          <w:tcPr>
            <w:tcW w:type="dxa" w:w="3168"/>
          </w:tcPr>
          <w:p>
            <w:r>
              <w:t>45275</w:t>
            </w:r>
          </w:p>
        </w:tc>
      </w:tr>
    </w:tbl>
    <w:p>
      <w:pPr>
        <w:pStyle w:val="Heading1"/>
      </w:pPr>
      <w:r>
        <w:br/>
        <w:t>1、试卷成绩分析</w:t>
      </w:r>
    </w:p>
    <w:p>
      <w:pPr>
        <w:pStyle w:val="Heading2"/>
      </w:pPr>
      <w:r>
        <w:t>（1）试卷成绩分布</w:t>
      </w:r>
    </w:p>
    <w:p>
      <w:r>
        <w:t>成绩分布较合理，平均成绩78.83分，优良率50.0%，不及格率16.67%。</w:t>
      </w:r>
    </w:p>
    <w:p>
      <w:r>
        <w:t>成绩分布图如下：</w:t>
      </w:r>
    </w:p>
    <w:p>
      <w:r>
        <w:drawing>
          <wp:inline xmlns:a="http://schemas.openxmlformats.org/drawingml/2006/main" xmlns:pic="http://schemas.openxmlformats.org/drawingml/2006/picture">
            <wp:extent cx="3657600" cy="2052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2、试卷对课程目标的达成度分析</w:t>
      </w:r>
    </w:p>
    <w:p>
      <w:r>
        <w:t>（1）课程目标 1（支撑毕业要求 1.1）达成度为 0.788，掌握高等数学的基本概念和理论知识。**</w:t>
        <w:br/>
        <w:br/>
        <w:t>从考试数据来看，学生在该目标上的平均得分为78.83分，表明大部分学生对基本概念和理论知识有较好的掌握，但仍存在一定的提升空间。此目标主要考察学生对函数、极限、导数等基本概念的理解和应用能力。虽然大部分学生能够完成基础题型，但部分学生在面对综合性题目时表现出理解不深、解题思路不清的问题。建议教师在教学过程中加强基础知识的巩固，通过案例讲解和实际问题分析，帮助学生深化对基本概念的理解。同时，可以采用课堂讨论和小组合作学习的方式，提高学生的参与度和思维活跃度。</w:t>
        <w:br/>
        <w:br/>
        <w:t>**</w:t>
      </w:r>
    </w:p>
    <w:p>
      <w:r>
        <w:t>（2）课程目标 2（支撑毕业要求 2.1）达成度为 0.788，能够运用高等数学的知识解决实际问题。**</w:t>
        <w:br/>
        <w:br/>
        <w:t>该目标的平均得分同样为78.83分，说明学生具备一定的应用能力，但在实际问题的解决过程中仍存在不足。此目标主要考察学生能否将所学知识应用于实际情境中，如优化问题、几何问题等。学生在面对需要多步骤推理和综合应用知识的题目时，往往表现出逻辑混乱、步骤不清晰等问题。建议教师在教学中增加实际案例的讲解，引导学生进行问题分解和逐步解决，培养他们的实际应用能力和创新思维。此外，可以通过布置开放性作业和项目式学习，让学生在实践中不断提升解决问题的能力。</w:t>
        <w:br/>
        <w:br/>
        <w:t>**</w:t>
      </w:r>
    </w:p>
    <w:p>
      <w:r>
        <w:t>（3）课程目标 3（支撑毕业要求 3.1）达成度为 0.788，具备良好的数学思维能力和逻辑推理能力。**</w:t>
        <w:br/>
        <w:br/>
        <w:t>该目标的平均得分为78.83分，表明学生在数学思维和逻辑推理方面有一定的基础，但仍有提升空间。此目标主要考察学生的逻辑思维、抽象思维和归纳总结能力。学生在面对需要深入思考和严密推理的题目时，常因缺乏系统性的思维训练而难以找到正确的解题路径。建议教师在教学中注重思维训练，通过设计具有挑战性的题目和引导学生进行思维导图的绘制，帮助他们建立系统的思维框架。同时，可以引入数学史和数学家的故事，激发学生的兴趣和探索欲望，从而提升他们的思维能力和逻辑推理能力。</w:t>
        <w:br/>
        <w:br/>
        <w:t>**</w:t>
      </w:r>
    </w:p>
    <w:p>
      <w:r>
        <w:t>（4）课程目标 4（支撑毕业要求 4.1）达成度为 0.788，具备良好的数学表达能力和书面表达能力。**</w:t>
        <w:br/>
        <w:br/>
        <w:t>该目标的平均得分为78.83分，说明学生在数学表达和书面表达方面有一定基础，但仍有改进的空间。此目标主要考察学生的数学语言表达、符号使用和文字描述能力。学生在答题过程中常常出现表达不清、符号错误或文字描述不准确的问题，影响了评分。建议教师在教学中加强数学语言的规范性训练，通过示范和练习，帮助学生掌握正确的数学表达方式。同时，可以鼓励学生进行口头报告和书面总结，提高他们的表达能力和沟通技巧。此外，教师可以在批改作业时给予详细的反馈，指出表达中的问题并提供改进建议。</w:t>
        <w:br/>
        <w:br/>
        <w:t>####</w:t>
      </w:r>
    </w:p>
    <w:p>
      <w:pPr>
        <w:pStyle w:val="Heading1"/>
      </w:pPr>
      <w:r>
        <w:br/>
        <w:t>3、学生答题主要问题分析：</w:t>
      </w:r>
    </w:p>
    <w:p>
      <w:r>
        <w:t>（1）学生基础知识掌握不牢固</w:t>
      </w:r>
    </w:p>
    <w:p>
      <w:r>
        <w:t>（2）综合分析能力有待提高</w:t>
      </w:r>
    </w:p>
    <w:p>
      <w:r>
        <w:t>（3）解题思路不够清晰</w:t>
      </w:r>
    </w:p>
    <w:p>
      <w:r>
        <w:t>（4）答题规范性不足</w:t>
      </w:r>
    </w:p>
    <w:p>
      <w:pPr>
        <w:pStyle w:val="Heading1"/>
      </w:pPr>
      <w:r>
        <w:br/>
        <w:t>4、存在问题及改进措施</w:t>
      </w:r>
    </w:p>
    <w:p>
      <w:r>
        <w:t>（1）加强基础知识的讲解和练习</w:t>
      </w:r>
    </w:p>
    <w:p>
      <w:r>
        <w:t>（2）增加案例分析和讨论环节</w:t>
      </w:r>
    </w:p>
    <w:p>
      <w:r>
        <w:t>（3）提供更多解题思路训练</w:t>
      </w:r>
    </w:p>
    <w:p>
      <w:r>
        <w:t>（4）规范答题格式要求</w:t>
      </w:r>
    </w:p>
    <w:p>
      <w:r>
        <w:br/>
        <w:br/>
        <w:t>签名：</w:t>
        <w:tab/>
        <w:tab/>
        <w:tab/>
        <w:tab/>
        <w:t>年</w:t>
        <w:tab/>
        <w:t>月</w:t>
        <w:tab/>
        <w:t>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