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扬州大学信息工程学院（人工智能学院）</w:t>
        <w:br/>
        <w:br/>
        <w:t>试 卷 分 析 表</w:t>
        <w:br/>
      </w:r>
    </w:p>
    <w:p>
      <w:pPr>
        <w:jc w:val="center"/>
      </w:pPr>
      <w:r>
        <w:t>（2023-2024学年第 第一学期 学期）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t>课程名称</w:t>
            </w:r>
          </w:p>
        </w:tc>
        <w:tc>
          <w:tcPr>
            <w:tcW w:type="dxa" w:w="3168"/>
          </w:tcPr>
          <w:p>
            <w:r>
              <w:t>高等数学</w:t>
            </w:r>
          </w:p>
        </w:tc>
        <w:tc>
          <w:tcPr>
            <w:tcW w:type="dxa" w:w="3168"/>
          </w:tcPr>
          <w:p>
            <w:r>
              <w:t>命题人</w:t>
            </w:r>
          </w:p>
        </w:tc>
        <w:tc>
          <w:tcPr>
            <w:tcW w:type="dxa" w:w="3168"/>
          </w:tcPr>
          <w:p>
            <w:r>
              <w:t>张三</w:t>
            </w:r>
          </w:p>
        </w:tc>
      </w:tr>
      <w:tr>
        <w:tc>
          <w:tcPr>
            <w:tcW w:type="dxa" w:w="3168"/>
          </w:tcPr>
          <w:p>
            <w:r>
              <w:t>考试班级</w:t>
            </w:r>
          </w:p>
        </w:tc>
        <w:tc>
          <w:tcPr>
            <w:tcW w:type="dxa" w:w="3168"/>
          </w:tcPr>
          <w:p>
            <w:r>
              <w:t>数学2023班</w:t>
            </w:r>
          </w:p>
        </w:tc>
        <w:tc>
          <w:tcPr>
            <w:tcW w:type="dxa" w:w="3168"/>
          </w:tcPr>
          <w:p>
            <w:r>
              <w:t>考试日期</w:t>
            </w:r>
          </w:p>
        </w:tc>
        <w:tc>
          <w:tcPr>
            <w:tcW w:type="dxa" w:w="3168"/>
          </w:tcPr>
          <w:p>
            <w:r>
              <w:t>45275</w:t>
            </w:r>
          </w:p>
        </w:tc>
      </w:tr>
    </w:tbl>
    <w:p>
      <w:pPr>
        <w:pStyle w:val="Heading1"/>
      </w:pPr>
      <w:r>
        <w:br/>
        <w:t>1、试卷成绩分析</w:t>
      </w:r>
    </w:p>
    <w:p>
      <w:pPr>
        <w:pStyle w:val="Heading2"/>
      </w:pPr>
      <w:r>
        <w:t>（1）试卷成绩分布</w:t>
      </w:r>
    </w:p>
    <w:p>
      <w:r>
        <w:t>成绩分布较合理，平均成绩78.83分，优良率50.0%，不及格率16.67%。</w:t>
      </w:r>
    </w:p>
    <w:p>
      <w:r>
        <w:t>成绩分布图如下：</w:t>
      </w:r>
    </w:p>
    <w:p>
      <w:r>
        <w:drawing>
          <wp:inline xmlns:a="http://schemas.openxmlformats.org/drawingml/2006/main" xmlns:pic="http://schemas.openxmlformats.org/drawingml/2006/picture">
            <wp:extent cx="3657600" cy="2052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br/>
        <w:t>2、试卷对课程目标的达成度分析</w:t>
      </w:r>
    </w:p>
    <w:p>
      <w:r>
        <w:t>（1）课程目标 1（支撑毕业要求 1.1）达成度为 0.788，掌握函数与极限的基本概念及计算方法**</w:t>
        <w:br/>
        <w:br/>
        <w:t>本次考试中，学生在函数与极限相关题目的平均得分为78.83分，表明学生对这一部分内容的理解基本到位。然而，部分学生在处理复杂函数极限问题时仍表现出一定的困难，如未能正确应用洛必达法则或泰勒展开等高级技巧。教学建议应着重于强化学生的基础理论知识，通过更多实际例题练习，提升学生解决复杂问题的能力。同时，教师可以采用分层教学策略，针对不同水平的学生提供个性化的辅导。</w:t>
        <w:br/>
        <w:br/>
        <w:t>**</w:t>
      </w:r>
    </w:p>
    <w:p>
      <w:r>
        <w:t>（2）课程目标 2（支撑毕业要求 2.1）达成度为 0.788，理解并掌握导数与微分的概念及其应用**</w:t>
        <w:br/>
        <w:br/>
        <w:t>从考试成绩来看，学生在导数与微分方面的表现较为理想，但仍有部分学生在应用导数求极值、单调性等问题上存在不足。这反映出学生在将理论知识应用于实际问题时可能存在一定的障碍。建议教师在教学过程中增加更多实际应用案例，帮助学生更好地理解和掌握导数的应用。此外，可以通过小组讨论和项目学习的方式，增强学生的实践能力和团队合作意识。</w:t>
        <w:br/>
        <w:br/>
        <w:t>**</w:t>
      </w:r>
    </w:p>
    <w:p>
      <w:r>
        <w:t>（3）课程目标 3（支撑毕业要求 3.1）达成度为 0.788，掌握积分的基本概念及计算方法**</w:t>
        <w:br/>
        <w:br/>
        <w:t>学生的平均得分表明他们在积分部分的表现良好，但在处理复杂的积分问题时，如不定积分和定积分的计算，部分学生仍存在困难。这可能是因为学生在积分技巧的掌握上不够熟练，或者在解题过程中缺乏系统的思维训练。教学建议包括加强积分技巧的专项训练，设计多样化的练习题目，以提高学生的解题能力和灵活性。同时，鼓励学生多做练习题，逐步积累经验。</w:t>
        <w:br/>
        <w:br/>
        <w:t>**</w:t>
      </w:r>
    </w:p>
    <w:p>
      <w:r>
        <w:t>（4）课程目标 4（支撑毕业要求 4.1）达成度为 0.788，理解并掌握微分方程的基本概念及其解法**</w:t>
        <w:br/>
        <w:br/>
        <w:t>学生在微分方程部分的表现相对较好，但在处理高阶微分方程和非线性微分方程时，部分学生表现出一定的困惑。这表明学生在掌握微分方程的解法方面还需进一步加强。建议教师在教学中引入更多实际案例，帮助学生理解微分方程的实际意义。此外，可以通过定期的小测验和作业，及时发现和纠正学生的错误，提高他们的解题能力。</w:t>
        <w:br/>
        <w:br/>
        <w:t>####</w:t>
      </w:r>
    </w:p>
    <w:p>
      <w:pPr>
        <w:pStyle w:val="Heading1"/>
      </w:pPr>
      <w:r>
        <w:br/>
        <w:t>3、学生答题主要问题分析：</w:t>
      </w:r>
    </w:p>
    <w:p>
      <w:r>
        <w:t>（1）学生基础知识掌握不牢固</w:t>
      </w:r>
    </w:p>
    <w:p>
      <w:r>
        <w:t>（2）综合分析能力有待提高</w:t>
      </w:r>
    </w:p>
    <w:p>
      <w:r>
        <w:t>（3）解题思路不够清晰</w:t>
      </w:r>
    </w:p>
    <w:p>
      <w:r>
        <w:t>（4）答题规范性不足</w:t>
      </w:r>
    </w:p>
    <w:p>
      <w:pPr>
        <w:pStyle w:val="Heading1"/>
      </w:pPr>
      <w:r>
        <w:br/>
        <w:t>4、存在问题及改进措施</w:t>
      </w:r>
    </w:p>
    <w:p>
      <w:r>
        <w:t>（1）加强基础知识的讲解和练习</w:t>
      </w:r>
    </w:p>
    <w:p>
      <w:r>
        <w:t>（2）增加案例分析和讨论环节</w:t>
      </w:r>
    </w:p>
    <w:p>
      <w:r>
        <w:t>（3）提供更多解题思路训练</w:t>
      </w:r>
    </w:p>
    <w:p>
      <w:r>
        <w:t>（4）规范答题格式要求</w:t>
      </w:r>
    </w:p>
    <w:p>
      <w:r>
        <w:br/>
        <w:br/>
        <w:t>签名：</w:t>
        <w:tab/>
        <w:tab/>
        <w:tab/>
        <w:tab/>
        <w:t>年</w:t>
        <w:tab/>
        <w:t>月</w:t>
        <w:tab/>
        <w:t>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