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扬州大学信息工程学院（人工智能学院）</w:t>
        <w:br/>
        <w:br/>
        <w:t>试 卷 分 析 表</w:t>
        <w:br/>
      </w:r>
    </w:p>
    <w:p>
      <w:pPr>
        <w:jc w:val="center"/>
      </w:pPr>
      <w:r>
        <w:t>（2023-2024学年第 第一学期 学期）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168"/>
          </w:tcPr>
          <w:p>
            <w:r>
              <w:t>课程名称</w:t>
            </w:r>
          </w:p>
        </w:tc>
        <w:tc>
          <w:tcPr>
            <w:tcW w:type="dxa" w:w="3168"/>
          </w:tcPr>
          <w:p>
            <w:r>
              <w:t>高等数学</w:t>
            </w:r>
          </w:p>
        </w:tc>
        <w:tc>
          <w:tcPr>
            <w:tcW w:type="dxa" w:w="3168"/>
          </w:tcPr>
          <w:p>
            <w:r>
              <w:t>命题人</w:t>
            </w:r>
          </w:p>
        </w:tc>
        <w:tc>
          <w:tcPr>
            <w:tcW w:type="dxa" w:w="3168"/>
          </w:tcPr>
          <w:p>
            <w:r>
              <w:t>张三</w:t>
            </w:r>
          </w:p>
        </w:tc>
      </w:tr>
      <w:tr>
        <w:tc>
          <w:tcPr>
            <w:tcW w:type="dxa" w:w="3168"/>
          </w:tcPr>
          <w:p>
            <w:r>
              <w:t>考试班级</w:t>
            </w:r>
          </w:p>
        </w:tc>
        <w:tc>
          <w:tcPr>
            <w:tcW w:type="dxa" w:w="3168"/>
          </w:tcPr>
          <w:p>
            <w:r>
              <w:t>数学2023班</w:t>
            </w:r>
          </w:p>
        </w:tc>
        <w:tc>
          <w:tcPr>
            <w:tcW w:type="dxa" w:w="3168"/>
          </w:tcPr>
          <w:p>
            <w:r>
              <w:t>考试日期</w:t>
            </w:r>
          </w:p>
        </w:tc>
        <w:tc>
          <w:tcPr>
            <w:tcW w:type="dxa" w:w="3168"/>
          </w:tcPr>
          <w:p>
            <w:r>
              <w:t>45275</w:t>
            </w:r>
          </w:p>
        </w:tc>
      </w:tr>
    </w:tbl>
    <w:p>
      <w:pPr>
        <w:pStyle w:val="Heading1"/>
      </w:pPr>
      <w:r>
        <w:br/>
        <w:t>1、试卷成绩分析</w:t>
      </w:r>
    </w:p>
    <w:p>
      <w:pPr>
        <w:pStyle w:val="Heading2"/>
      </w:pPr>
      <w:r>
        <w:t>（1）试卷成绩分布</w:t>
      </w:r>
    </w:p>
    <w:p>
      <w:r>
        <w:t>成绩分布较合理，平均成绩78.83分，优良率50.0%，不及格率16.67%。</w:t>
      </w:r>
    </w:p>
    <w:p>
      <w:r>
        <w:t>成绩分布图如下：</w:t>
      </w:r>
    </w:p>
    <w:p>
      <w:r>
        <w:drawing>
          <wp:inline xmlns:a="http://schemas.openxmlformats.org/drawingml/2006/main" xmlns:pic="http://schemas.openxmlformats.org/drawingml/2006/picture">
            <wp:extent cx="3657600" cy="2052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052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br/>
        <w:t>2、试卷对课程目标的达成度分析</w:t>
      </w:r>
    </w:p>
    <w:p>
      <w:r>
        <w:t>（1）课程目标 1（支撑毕业要求 1.1）达成度为 0.788，掌握函数、极限与连续的基本概念，理解其数学意义和实际应用。**</w:t>
        <w:br/>
        <w:br/>
        <w:t>从考试成绩来看，学生在本</w:t>
      </w:r>
    </w:p>
    <w:p>
      <w:r>
        <w:t>（2）课程目标 2（支撑毕业要求 2.1）达成度为 0.788，熟练掌握导数与微分的基本计算方法及其几何意义。**</w:t>
        <w:br/>
        <w:br/>
        <w:t>学生在该目标上的平均得分为78.83分，说明大部分学生掌握了导数的基本计算方法，但对导数的应用和几何意义的理解仍需加强。例如，部分学生在处理涉及导数的实际问题时，未能正确运用导数的几何解释来解决问题。建议教师在教学过程中增加与实际问题相结合的练习题，引导学生通过图形和实例理解导数的意义。同时，应注重培养学生的逻辑推理能力和解题技巧，提高他们的综合应用能力。</w:t>
        <w:br/>
        <w:br/>
        <w:t>**</w:t>
      </w:r>
    </w:p>
    <w:p>
      <w:r>
        <w:t>（3）课程目标 3（支撑毕业要求 3.1）达成度为 0.788，理解积分的基本概念和性质，掌握不定积分与定积分的计算方法。**</w:t>
        <w:br/>
        <w:br/>
        <w:t>学生在本</w:t>
      </w:r>
    </w:p>
    <w:p>
      <w:r>
        <w:t>（4）课程目标 4（支撑毕业要求 4.1）达成度为 0.788，掌握微分方程的基本知识，能够解决简单的常微分方程。**</w:t>
        <w:br/>
        <w:br/>
        <w:t>学生在该目标上的平均得分为78.83分，表明大部分学生能够掌握微分方程的基本知识，但在解决复杂或非线性微分方程时表现出一定的困难。这可能是因为学生对微分方程的分类和求解方法理解不深，或者缺乏足够的练习。建议教师在教学中增加对不同类型的微分方程的讲解，并提供更多的例题和练习题，以帮助学生巩固所学知识。同时，鼓励学生通过小组讨论和合作学习的方式，共同解决复杂的微分方程问题。</w:t>
        <w:br/>
        <w:br/>
        <w:t>####</w:t>
      </w:r>
    </w:p>
    <w:p>
      <w:pPr>
        <w:pStyle w:val="Heading1"/>
      </w:pPr>
      <w:r>
        <w:br/>
        <w:t>3、学生答题主要问题分析：</w:t>
      </w:r>
    </w:p>
    <w:p>
      <w:r>
        <w:t>（1）学生基础知识掌握不牢固</w:t>
      </w:r>
    </w:p>
    <w:p>
      <w:r>
        <w:t>（2）综合分析能力有待提高</w:t>
      </w:r>
    </w:p>
    <w:p>
      <w:r>
        <w:t>（3）解题思路不够清晰</w:t>
      </w:r>
    </w:p>
    <w:p>
      <w:r>
        <w:t>（4）答题规范性不足</w:t>
      </w:r>
    </w:p>
    <w:p>
      <w:pPr>
        <w:pStyle w:val="Heading1"/>
      </w:pPr>
      <w:r>
        <w:br/>
        <w:t>4、存在问题及改进措施</w:t>
      </w:r>
    </w:p>
    <w:p>
      <w:r>
        <w:t>（1）加强基础知识的讲解和练习</w:t>
      </w:r>
    </w:p>
    <w:p>
      <w:r>
        <w:t>（2）增加案例分析和讨论环节</w:t>
      </w:r>
    </w:p>
    <w:p>
      <w:r>
        <w:t>（3）提供更多解题思路训练</w:t>
      </w:r>
    </w:p>
    <w:p>
      <w:r>
        <w:t>（4）规范答题格式要求</w:t>
      </w:r>
    </w:p>
    <w:p>
      <w:r>
        <w:br/>
        <w:br/>
        <w:t>签名：</w:t>
        <w:tab/>
        <w:tab/>
        <w:tab/>
        <w:tab/>
        <w:t>年</w:t>
        <w:tab/>
        <w:t>月</w:t>
        <w:tab/>
        <w:t>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