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Diseño y Documentación de Arquitectura de Sistemas IA</w:t>
      </w:r>
    </w:p>
    <w:p>
      <w:pPr>
        <w:pStyle w:val="Heading1"/>
      </w:pPr>
      <w:r>
        <w:t>Evaluación Parcial N°1 — Informe Técnico</w:t>
      </w:r>
    </w:p>
    <w:p>
      <w:pPr>
        <w:pStyle w:val="Heading2"/>
      </w:pPr>
      <w:r>
        <w:t>Sistema de Recomendación de Productos para E-commerce (ShopFast)</w:t>
      </w:r>
    </w:p>
    <w:p>
      <w:pPr>
        <w:pStyle w:val="ListBullet"/>
        <w:ind w:left="340"/>
        <w:jc w:val="left"/>
      </w:pPr>
      <w:r>
        <w:rPr>
          <w:b/>
        </w:rPr>
        <w:t>Asignatura:</w:t>
      </w:r>
      <w:r>
        <w:t xml:space="preserve"> Arquitectura de Sistemas de Inteligencia Artificial</w:t>
      </w:r>
    </w:p>
    <w:p>
      <w:pPr>
        <w:pStyle w:val="ListBullet"/>
        <w:ind w:left="340"/>
        <w:jc w:val="left"/>
      </w:pPr>
      <w:r>
        <w:rPr>
          <w:b/>
        </w:rPr>
        <w:t>Sigla:</w:t>
      </w:r>
      <w:r>
        <w:t xml:space="preserve"> ITY1102</w:t>
      </w:r>
    </w:p>
    <w:p>
      <w:pPr>
        <w:pStyle w:val="ListBullet"/>
        <w:ind w:left="340"/>
        <w:jc w:val="left"/>
      </w:pPr>
      <w:r>
        <w:rPr>
          <w:b/>
        </w:rPr>
        <w:t>Institución:</w:t>
      </w:r>
      <w:r>
        <w:t xml:space="preserve"> Duoc UC </w:t>
      </w:r>
    </w:p>
    <w:p>
      <w:pPr>
        <w:pStyle w:val="ListBullet"/>
        <w:ind w:left="340"/>
        <w:jc w:val="left"/>
      </w:pPr>
      <w:r>
        <w:rPr>
          <w:b/>
        </w:rPr>
        <w:t>Tipo de evaluación:</w:t>
      </w:r>
      <w:r>
        <w:t xml:space="preserve"> Parcial 1 </w:t>
      </w:r>
    </w:p>
    <w:p>
      <w:pPr>
        <w:pStyle w:val="ListBullet"/>
        <w:ind w:left="340"/>
        <w:jc w:val="left"/>
      </w:pPr>
      <w:r>
        <w:rPr>
          <w:b/>
        </w:rPr>
        <w:t>Plantilla:</w:t>
      </w:r>
      <w:r>
        <w:t xml:space="preserve"> arc42 simplificada</w:t>
      </w:r>
    </w:p>
    <w:p>
      <w:pPr>
        <w:pStyle w:val="ListBullet"/>
        <w:ind w:left="340"/>
        <w:jc w:val="left"/>
      </w:pPr>
      <w:r>
        <w:rPr>
          <w:b/>
        </w:rPr>
        <w:t>Caso empresarial:</w:t>
      </w:r>
      <w:r>
        <w:t xml:space="preserve"> Caso 1 — Sistema de Recomendación para E-commerce (ShopFast)</w:t>
      </w:r>
    </w:p>
    <w:p>
      <w:r>
        <w:rPr>
          <w:b/>
        </w:rPr>
        <w:t>Equipo N°:</w:t>
      </w:r>
      <w:r>
        <w:t xml:space="preserve"> 1</w:t>
      </w:r>
    </w:p>
    <w:p>
      <w:r>
        <w:rPr>
          <w:b/>
        </w:rPr>
        <w:t>Integrantes:</w:t>
      </w:r>
    </w:p>
    <w:p>
      <w:pPr>
        <w:pStyle w:val="ListBullet"/>
        <w:ind w:left="340"/>
        <w:jc w:val="left"/>
      </w:pPr>
      <w:r>
        <w:t>Martin Higuera</w:t>
      </w:r>
    </w:p>
    <w:p>
      <w:pPr>
        <w:pStyle w:val="ListBullet"/>
        <w:ind w:left="340"/>
        <w:jc w:val="left"/>
      </w:pPr>
      <w:r>
        <w:t>Gabriel Durán</w:t>
      </w:r>
    </w:p>
    <w:p>
      <w:pPr>
        <w:pStyle w:val="ListBullet"/>
        <w:ind w:left="340"/>
        <w:jc w:val="left"/>
      </w:pPr>
      <w:r>
        <w:t>Francisco Salazar</w:t>
      </w:r>
    </w:p>
    <w:p>
      <w:r>
        <w:rPr>
          <w:b/>
        </w:rPr>
        <w:t>Docente:</w:t>
      </w:r>
      <w:r>
        <w:t xml:space="preserve"> Ricardo Aravena Videla</w:t>
      </w:r>
    </w:p>
    <w:p>
      <w:r>
        <w:rPr>
          <w:b/>
        </w:rPr>
        <w:t>Fecha de entrega:</w:t>
      </w:r>
      <w:r>
        <w:t xml:space="preserve"> Semana 7 — 24 / 09 / 2026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ListBullet"/>
        <w:ind w:left="340"/>
        <w:jc w:val="left"/>
      </w:pPr>
      <w:r>
        <w:rPr>
          <w:b/>
        </w:rPr>
        <w:t>1.1 Análisis del caso empresarial</w:t>
      </w:r>
    </w:p>
    <w:p>
      <w:pPr>
        <w:pStyle w:val="ListBullet"/>
        <w:ind w:left="737"/>
        <w:jc w:val="left"/>
      </w:pPr>
      <w:r>
        <w:t>1.1.1 Contexto del caso y problemática</w:t>
      </w:r>
    </w:p>
    <w:p>
      <w:pPr>
        <w:pStyle w:val="ListBullet"/>
        <w:ind w:left="737"/>
        <w:jc w:val="left"/>
      </w:pPr>
      <w:r>
        <w:t>1.1.2 Objetivo del proyecto</w:t>
      </w:r>
    </w:p>
    <w:p>
      <w:pPr>
        <w:pStyle w:val="ListBullet"/>
        <w:ind w:left="737"/>
        <w:jc w:val="left"/>
      </w:pPr>
      <w:r>
        <w:t>1.1.3 Requerimientos funcionales</w:t>
      </w:r>
    </w:p>
    <w:p>
      <w:pPr>
        <w:pStyle w:val="ListBullet"/>
        <w:ind w:left="737"/>
        <w:jc w:val="left"/>
      </w:pPr>
      <w:r>
        <w:t>1.1.4 Requerimientos no funcionales</w:t>
      </w:r>
    </w:p>
    <w:p>
      <w:pPr>
        <w:pStyle w:val="ListBullet"/>
        <w:ind w:left="737"/>
        <w:jc w:val="left"/>
      </w:pPr>
      <w:r>
        <w:t>1.1.5 Componentes principales de la arquitectura</w:t>
      </w:r>
    </w:p>
    <w:p>
      <w:pPr>
        <w:pStyle w:val="ListBullet"/>
        <w:ind w:left="737"/>
        <w:jc w:val="left"/>
      </w:pPr>
      <w:r>
        <w:t>1.1.6 Ciclo de vida y elementos de los datos</w:t>
      </w:r>
    </w:p>
    <w:p>
      <w:pPr>
        <w:pStyle w:val="ListBullet"/>
        <w:ind w:left="737"/>
        <w:jc w:val="left"/>
      </w:pPr>
      <w:r>
        <w:t>1.1.7 Elementos AWS y su función</w:t>
      </w:r>
    </w:p>
    <w:p>
      <w:pPr>
        <w:pStyle w:val="ListBullet"/>
        <w:ind w:left="340"/>
        <w:jc w:val="left"/>
      </w:pPr>
      <w:r>
        <w:rPr>
          <w:b/>
        </w:rPr>
        <w:t>1.2 Principios de diseño arquitectónico</w:t>
      </w:r>
    </w:p>
    <w:p>
      <w:pPr>
        <w:pStyle w:val="ListBullet"/>
        <w:ind w:left="737"/>
        <w:jc w:val="left"/>
      </w:pPr>
      <w:r>
        <w:t>1.2.1 Escalabilidad</w:t>
      </w:r>
    </w:p>
    <w:p>
      <w:pPr>
        <w:pStyle w:val="ListBullet"/>
        <w:ind w:left="737"/>
        <w:jc w:val="left"/>
      </w:pPr>
      <w:r>
        <w:t>1.2.2 Flexibilidad</w:t>
      </w:r>
    </w:p>
    <w:p>
      <w:pPr>
        <w:pStyle w:val="ListBullet"/>
        <w:ind w:left="737"/>
        <w:jc w:val="left"/>
      </w:pPr>
      <w:r>
        <w:t>1.2.3 Seguridad</w:t>
      </w:r>
    </w:p>
    <w:p>
      <w:pPr>
        <w:pStyle w:val="ListBullet"/>
        <w:ind w:left="737"/>
        <w:jc w:val="left"/>
      </w:pPr>
      <w:r>
        <w:t>1.2.4 Observabilidad</w:t>
      </w:r>
    </w:p>
    <w:p>
      <w:pPr>
        <w:pStyle w:val="ListBullet"/>
        <w:ind w:left="737"/>
        <w:jc w:val="left"/>
      </w:pPr>
      <w:r>
        <w:t>1.2.5 Confiabilidad</w:t>
      </w:r>
    </w:p>
    <w:p>
      <w:pPr>
        <w:pStyle w:val="ListBullet"/>
        <w:ind w:left="737"/>
        <w:jc w:val="left"/>
      </w:pPr>
      <w:r>
        <w:t>1.2.6 Decisiones arquitectónicas clave</w:t>
      </w:r>
    </w:p>
    <w:p>
      <w:pPr>
        <w:pStyle w:val="ListBullet"/>
        <w:ind w:left="340"/>
        <w:jc w:val="left"/>
      </w:pPr>
      <w:r>
        <w:rPr>
          <w:b/>
        </w:rPr>
        <w:t>1.3 Especificación de infraestructura</w:t>
      </w:r>
    </w:p>
    <w:p>
      <w:pPr>
        <w:pStyle w:val="ListBullet"/>
        <w:ind w:left="737"/>
        <w:jc w:val="left"/>
      </w:pPr>
      <w:r>
        <w:t>1.3.1 Recursos computacionales (CPU, GPU y TPU)</w:t>
      </w:r>
    </w:p>
    <w:p>
      <w:pPr>
        <w:pStyle w:val="ListBullet"/>
        <w:ind w:left="737"/>
        <w:jc w:val="left"/>
      </w:pPr>
      <w:r>
        <w:t>1.3.2 Selección de frameworks de desarrollo de IA</w:t>
      </w:r>
    </w:p>
    <w:p>
      <w:pPr>
        <w:pStyle w:val="ListBullet"/>
        <w:ind w:left="737"/>
        <w:jc w:val="left"/>
      </w:pPr>
      <w:r>
        <w:t>1.3.3 Selección de servicios cloud (AWS, Azure, GCP)</w:t>
      </w:r>
    </w:p>
    <w:p>
      <w:pPr>
        <w:pStyle w:val="ListBullet"/>
        <w:ind w:left="737"/>
        <w:jc w:val="left"/>
      </w:pPr>
      <w:r>
        <w:t>1.3.4 Dimensionamiento inicial con estimación de costos</w:t>
      </w:r>
    </w:p>
    <w:p>
      <w:pPr>
        <w:pStyle w:val="ListBullet"/>
        <w:ind w:left="340"/>
        <w:jc w:val="left"/>
      </w:pPr>
      <w:r>
        <w:rPr>
          <w:b/>
        </w:rPr>
        <w:t>1.4 Estrategias de integración y despliegue</w:t>
      </w:r>
    </w:p>
    <w:p>
      <w:pPr>
        <w:pStyle w:val="ListBullet"/>
        <w:ind w:left="737"/>
        <w:jc w:val="left"/>
      </w:pPr>
      <w:r>
        <w:t>1.4.1 Uso de edge computing</w:t>
      </w:r>
    </w:p>
    <w:p>
      <w:pPr>
        <w:pStyle w:val="ListBullet"/>
        <w:ind w:left="737"/>
        <w:jc w:val="left"/>
      </w:pPr>
      <w:r>
        <w:t>1.4.2 Comparación de alternativas de integración</w:t>
      </w:r>
    </w:p>
    <w:p>
      <w:pPr>
        <w:pStyle w:val="ListBullet"/>
        <w:ind w:left="737"/>
        <w:jc w:val="left"/>
      </w:pPr>
      <w:r>
        <w:t>1.4.3 Pipeline de integración continua y despliegue continuo (CI/CD)</w:t>
      </w:r>
    </w:p>
    <w:p>
      <w:pPr>
        <w:pStyle w:val="ListBullet"/>
        <w:ind w:left="737"/>
        <w:jc w:val="left"/>
      </w:pPr>
      <w:r>
        <w:t>1.4.4 Diagrama de flujo de despliegue</w:t>
      </w:r>
    </w:p>
    <w:p>
      <w:pPr>
        <w:pStyle w:val="ListBullet"/>
        <w:ind w:left="340"/>
        <w:jc w:val="left"/>
      </w:pPr>
      <w:r>
        <w:rPr>
          <w:b/>
        </w:rPr>
        <w:t>Referencias</w:t>
      </w:r>
    </w:p>
    <w:p>
      <w:pPr>
        <w:pStyle w:val="ListBullet"/>
        <w:ind w:left="340"/>
        <w:jc w:val="left"/>
      </w:pPr>
      <w:r>
        <w:rPr>
          <w:b/>
        </w:rPr>
        <w:t>Declaración de uso de herramientas de IA generativa</w:t>
      </w:r>
    </w:p>
    <w:p>
      <w:r>
        <w:br w:type="page"/>
      </w:r>
    </w:p>
    <w:p>
      <w:pPr>
        <w:pStyle w:val="Heading1"/>
      </w:pPr>
      <w:r>
        <w:t>1.1 Análisis del caso empresarial</w:t>
      </w:r>
    </w:p>
    <w:p>
      <w:pPr>
        <w:pStyle w:val="Heading2"/>
      </w:pPr>
      <w:r>
        <w:t>1.1.1 Contexto del caso y problemática</w:t>
      </w:r>
    </w:p>
    <w:p>
      <w:r>
        <w:t>ShopFast presenta estancamiento de ventas en los últimos 6 meses: los usuarios no encuentran productos interesantes, lo que origina una conversión del 2.3% y un valor promedio de compra de 85 USD.</w:t>
      </w:r>
    </w:p>
    <w:p>
      <w:pPr>
        <w:pStyle w:val="Heading2"/>
      </w:pPr>
      <w:r>
        <w:t>1.1.2 Objetivo del proyecto</w:t>
      </w:r>
    </w:p>
    <w:p>
      <w:r>
        <w:t>Se busca un sistema de recomendación que eleve la conversión a 4% y el ticket promedio a 120 USD mediante sugerencias personalizadas.</w:t>
      </w:r>
    </w:p>
    <w:p>
      <w:pPr>
        <w:pStyle w:val="Heading2"/>
      </w:pPr>
      <w:r>
        <w:t>1.1.3 Requerimientos funcionales</w:t>
      </w:r>
    </w:p>
    <w:p>
      <w:r>
        <w:t>R.F 1: El sistema debe permitir al usuario buscar y filtrar productos del catálogo a partir de distintos atributos como nombre, categoría y rango de precios.</w:t>
      </w:r>
    </w:p>
    <w:p>
      <w:r>
        <w:t>R.F 2: El sistema debe permitir al usuario visualizar la información detallada de un producto seleccionado, incluyendo su imagen, nombre, descripción, especificaciones y precio.</w:t>
      </w:r>
    </w:p>
    <w:p>
      <w:r>
        <w:t>R.F 3: El sistema debe mostrar en la página de inicio (Homepage) una sección personalizada denominada "Recomendado para ti" con un listado de hasta 10 productos sugeridos según el perfil e historial del usuario.</w:t>
      </w:r>
    </w:p>
    <w:p>
      <w:r>
        <w:t>R.F 4: El sistema debe mostrar en la página de detalle de cada producto una sección denominada "También te puede interesar" con un listado de hasta 5 productos complementarios o alternativos.</w:t>
      </w:r>
    </w:p>
    <w:p>
      <w:r>
        <w:t>R.F 5: El sistema debe generar recomendaciones personalizadas para cada usuario activo a partir del análisis de su comportamiento y similitud de patrones con otros usuarios.</w:t>
      </w:r>
    </w:p>
    <w:p>
      <w:r>
        <w:t>R.F 6: El sistema debe registrar en tiempo real las interacciones de los usuarios, tales como clics en productos, visualizaciones de páginas, adiciones al carrito y compras realizadas.</w:t>
      </w:r>
    </w:p>
    <w:p>
      <w:r>
        <w:t>R.F 7: El sistema debe permitir registrar la valoración de los usuarios respecto a los productos, ya sea de forma explícita o deducida a partir de su historial de compras e interacciones.</w:t>
      </w:r>
    </w:p>
    <w:p>
      <w:r>
        <w:t>R.F 8: El sistema debe retornar un listado de los productos más vendidos como alternativa por defecto (fallback) cuando el usuario sea nuevo, no cuente con historial previo o el servicio de recomendaciones presente demoras o fallos.</w:t>
      </w:r>
    </w:p>
    <w:p>
      <w:r>
        <w:t>R.F 9: El sistema debe permitir a las aplicaciones cliente solicitar sugerencias personalizadas mediante un identificador de usuario y recibir una lista de productos ordenados por un puntaje de relevancia.</w:t>
      </w:r>
    </w:p>
    <w:p>
      <w:r>
        <w:t>R.F 10: El sistema debe permitir la interacción directa con las tarjetas de productos recomendados para ver su detalle o añadirlos al carrito, contabilizando la acción para la medición del porcentaje de clics (CTR).</w:t>
      </w:r>
    </w:p>
    <w:p>
      <w:r>
        <w:t>R.F 11: El sistema debe exponer un mecanismo para consultar y verificar el estado de salud y disponibilidad operativa del servicio de recomendaciones.</w:t>
      </w:r>
    </w:p>
    <w:p>
      <w:pPr>
        <w:pStyle w:val="Heading2"/>
      </w:pPr>
      <w:r>
        <w:t>1.1.4 Requerimientos no funcionales</w:t>
      </w:r>
    </w:p>
    <w:p>
      <w:r>
        <w:t xml:space="preserve">R.N.F 1: El sistema debe responder a las solicitudes de recomendaciones con un tiempo de latencia menor a 500 milisegundos en peticiones cálidas ( </w:t>
      </w:r>
      <w:r>
        <w:rPr>
          <w:i/>
        </w:rPr>
        <w:t>warm requests</w:t>
      </w:r>
      <w:r>
        <w:t xml:space="preserve"> ).</w:t>
      </w:r>
    </w:p>
    <w:p>
      <w:r>
        <w:t>R.N.F 2: El servicio de recomendaciones debe mantener una disponibilidad operativa mínima del 99% durante el horario comercial.</w:t>
      </w:r>
    </w:p>
    <w:p>
      <w:r>
        <w:t>R.N.F 3: El sistema debe soportar una capacidad de procesamiento concurrente de al menos 500 usuarios simultáneos y un tráfico pico de 2.100 peticiones por hora sin degradación del servicio.</w:t>
      </w:r>
    </w:p>
    <w:p>
      <w:r>
        <w:t>R.N.F 4: La infraestructura computacional en la nube (AWS) debe operar bajo un esquema de costos optimizado que no supere los $200 USD mensuales.</w:t>
      </w:r>
    </w:p>
    <w:p>
      <w:r>
        <w:t>R.N.F 5: La arquitectura debe ser serverless y desacoplada mediante AWS Lambda y API Gateway, permitiendo un autoescalado elástico de 0 a 1.000 instancias según la demanda.</w:t>
      </w:r>
    </w:p>
    <w:p>
      <w:r>
        <w:t>R.N.F 6: La persistencia de datos relacionales debe gestionarse a través de Amazon RDS con motor MySQL, complementada con Amazon S3 para almacenamiento duradero de modelos y datos históricos.</w:t>
      </w:r>
    </w:p>
    <w:p>
      <w:r>
        <w:t>R.N.F 7: El motor de recomendación debe implementarse mediante técnicas de filtrado colaborativo con Factorización de Matrices (SVD), logrando un error cuadrático medio (RMSE) igual o menor a 0.85 y una precisión@10 de al menos 0.72.</w:t>
      </w:r>
    </w:p>
    <w:p>
      <w:r>
        <w:t>R.N.F 8: Todas las comunicaciones y transferencias de datos entre el cliente web y las APIs deben estar cifradas mediante el protocolo seguro HTTPS.</w:t>
      </w:r>
    </w:p>
    <w:p>
      <w:r>
        <w:t>R.N.F 9: El acceso a los endpoints de la API debe estar autenticado mediante API Keys gestionadas de forma segura en AWS Systems Manager Parameter Store y con políticas de acceso IAM basadas en el principio de mínimo privilegio.</w:t>
      </w:r>
    </w:p>
    <w:p>
      <w:r>
        <w:t xml:space="preserve">R.N.F 10: La API debe implementar un control de tasa de consumo ( </w:t>
      </w:r>
      <w:r>
        <w:rPr>
          <w:i/>
        </w:rPr>
        <w:t>rate limiting</w:t>
      </w:r>
      <w:r>
        <w:t xml:space="preserve"> ) configurado a un máximo de 100 solicitudes por minuto por cliente.</w:t>
      </w:r>
    </w:p>
    <w:p>
      <w:r>
        <w:t xml:space="preserve">R.N.F 11: Los registros y trazas del sistema no deben contener información de identificación personal (PII) y deben incluir un identificador único por petición ( </w:t>
      </w:r>
      <w:r>
        <w:rPr>
          <w:i/>
        </w:rPr>
        <w:t>request</w:t>
      </w:r>
      <w:r>
        <w:t>id_ ) para asegurar la observabilidad en Amazon CloudWatch.</w:t>
      </w:r>
    </w:p>
    <w:p>
      <w:r>
        <w:t>R.N.F 12: El sistema debe contar con un mecanismo de resiliencia que active un reintento automático y un tiempo límite de espera (timeout) de 2 segundos, disparando el fallback de productos en menos de 500 milisegundos ante fallos de backend.</w:t>
      </w:r>
    </w:p>
    <w:p>
      <w:r>
        <w:t xml:space="preserve">R.N.F 13: El proceso de integración y despliegue continuo (CI/CD) debe ejecutar despliegues de producción progresivos tipo Canary (10% por minuto) con reversión automática ( </w:t>
      </w:r>
      <w:r>
        <w:rPr>
          <w:i/>
        </w:rPr>
        <w:t>rollback</w:t>
      </w:r>
      <w:r>
        <w:t xml:space="preserve"> ) si la tasa de errores supera el 3%.</w:t>
      </w:r>
    </w:p>
    <w:p>
      <w:r>
        <w:t>R.N.F 14: La arquitectura debe ser flexible y desacoplada, permitiendo la sustitución o actualización del algoritmo del modelo de aprendizaje automático sin interrumpir la operación continua del servicio.</w:t>
      </w:r>
    </w:p>
    <w:p>
      <w:pPr>
        <w:pStyle w:val="Heading2"/>
      </w:pPr>
      <w:r>
        <w:t>1.1.5 Componentes principales de la arquitectura</w:t>
      </w:r>
    </w:p>
    <w:p>
      <w:r>
        <w:t>Los cuatro componentes exigidos se materializan en ShopFast así: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2537"/>
          </w:tcPr>
          <w:p>
            <w:pPr>
              <w:jc w:val="left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2537"/>
          </w:tcPr>
          <w:p>
            <w:pPr>
              <w:jc w:val="left"/>
            </w:pPr>
            <w:r>
              <w:rPr>
                <w:b/>
                <w:sz w:val="18"/>
              </w:rPr>
              <w:t>Función específica</w:t>
            </w:r>
          </w:p>
        </w:tc>
        <w:tc>
          <w:tcPr>
            <w:tcW w:type="dxa" w:w="2537"/>
          </w:tcPr>
          <w:p>
            <w:pPr>
              <w:jc w:val="left"/>
            </w:pPr>
            <w:r>
              <w:rPr>
                <w:b/>
                <w:sz w:val="18"/>
              </w:rPr>
              <w:t>Tecnología en el caso (ShopFast)</w:t>
            </w:r>
          </w:p>
        </w:tc>
        <w:tc>
          <w:tcPr>
            <w:tcW w:type="dxa" w:w="2537"/>
          </w:tcPr>
          <w:p>
            <w:pPr>
              <w:jc w:val="left"/>
            </w:pPr>
            <w:r>
              <w:rPr>
                <w:b/>
                <w:sz w:val="18"/>
              </w:rPr>
              <w:t>Requerimiento(s) que satisface</w:t>
            </w:r>
          </w:p>
        </w:tc>
      </w:tr>
      <w:tr>
        <w:tc>
          <w:tcPr>
            <w:tcW w:type="dxa" w:w="2537"/>
          </w:tcPr>
          <w:p>
            <w:pPr>
              <w:jc w:val="left"/>
            </w:pPr>
            <w:r>
              <w:rPr>
                <w:b/>
                <w:sz w:val="18"/>
              </w:rPr>
              <w:t>Datos</w:t>
            </w:r>
          </w:p>
        </w:tc>
        <w:tc>
          <w:tcPr>
            <w:tcW w:type="dxa" w:w="2537"/>
          </w:tcPr>
          <w:p>
            <w:pPr>
              <w:jc w:val="left"/>
            </w:pPr>
            <w:r>
              <w:rPr>
                <w:sz w:val="18"/>
              </w:rPr>
              <w:t>Ingesta, limpieza y persistencia del histórico de interacciones y del catálogo que alimentan al motor</w:t>
            </w:r>
          </w:p>
        </w:tc>
        <w:tc>
          <w:tcPr>
            <w:tcW w:type="dxa" w:w="2537"/>
          </w:tcPr>
          <w:p>
            <w:pPr>
              <w:jc w:val="left"/>
            </w:pPr>
            <w:r>
              <w:rPr>
                <w:sz w:val="18"/>
              </w:rPr>
              <w:t>Amazon RDS (MySQL) para transacciones en caliente; Amazon S3 como data lake (12 meses, 2 GB); pandas para transformación</w:t>
            </w:r>
          </w:p>
        </w:tc>
        <w:tc>
          <w:tcPr>
            <w:tcW w:type="dxa" w:w="2537"/>
          </w:tcPr>
          <w:p>
            <w:pPr>
              <w:jc w:val="left"/>
            </w:pPr>
            <w:r>
              <w:rPr>
                <w:sz w:val="18"/>
              </w:rPr>
              <w:t>R.F 6, R.F 7, R.N.F 6</w:t>
            </w:r>
          </w:p>
        </w:tc>
      </w:tr>
      <w:tr>
        <w:tc>
          <w:tcPr>
            <w:tcW w:type="dxa" w:w="2537"/>
          </w:tcPr>
          <w:p>
            <w:pPr>
              <w:jc w:val="left"/>
            </w:pPr>
            <w:r>
              <w:rPr>
                <w:b/>
                <w:sz w:val="18"/>
              </w:rPr>
              <w:t>Modelo</w:t>
            </w:r>
          </w:p>
        </w:tc>
        <w:tc>
          <w:tcPr>
            <w:tcW w:type="dxa" w:w="2537"/>
          </w:tcPr>
          <w:p>
            <w:pPr>
              <w:jc w:val="left"/>
            </w:pPr>
            <w:r>
              <w:rPr>
                <w:sz w:val="18"/>
              </w:rPr>
              <w:t xml:space="preserve">Generar recomendaciones personalizadas: filtrado colaborativo con puntaje de relevancia y alternativa de </w:t>
            </w:r>
            <w:r>
              <w:rPr>
                <w:i/>
                <w:sz w:val="18"/>
              </w:rPr>
              <w:t>fallback</w:t>
            </w:r>
          </w:p>
        </w:tc>
        <w:tc>
          <w:tcPr>
            <w:tcW w:type="dxa" w:w="2537"/>
          </w:tcPr>
          <w:p>
            <w:pPr>
              <w:jc w:val="left"/>
            </w:pPr>
            <w:r>
              <w:rPr>
                <w:sz w:val="18"/>
              </w:rPr>
              <w:t>Python Surprise 1.1.3 (SVD); entrenamiento en Amazon SageMaker (ml.t3.medium, semanal) y artefacto serializado versionado en S3 (Model Registry)</w:t>
            </w:r>
          </w:p>
        </w:tc>
        <w:tc>
          <w:tcPr>
            <w:tcW w:type="dxa" w:w="2537"/>
          </w:tcPr>
          <w:p>
            <w:pPr>
              <w:jc w:val="left"/>
            </w:pPr>
            <w:r>
              <w:rPr>
                <w:sz w:val="18"/>
              </w:rPr>
              <w:t>R.F 5, R.F 8, R.N.F 7, R.N.F 14</w:t>
            </w:r>
          </w:p>
        </w:tc>
      </w:tr>
      <w:tr>
        <w:tc>
          <w:tcPr>
            <w:tcW w:type="dxa" w:w="2537"/>
          </w:tcPr>
          <w:p>
            <w:pPr>
              <w:jc w:val="left"/>
            </w:pPr>
            <w:r>
              <w:rPr>
                <w:b/>
                <w:sz w:val="18"/>
              </w:rPr>
              <w:t>API</w:t>
            </w:r>
          </w:p>
        </w:tc>
        <w:tc>
          <w:tcPr>
            <w:tcW w:type="dxa" w:w="2537"/>
          </w:tcPr>
          <w:p>
            <w:pPr>
              <w:jc w:val="left"/>
            </w:pPr>
            <w:r>
              <w:rPr>
                <w:sz w:val="18"/>
              </w:rPr>
              <w:t>Exponer el modelo como servicio REST seguro, disponible y con control de consumo</w:t>
            </w:r>
          </w:p>
        </w:tc>
        <w:tc>
          <w:tcPr>
            <w:tcW w:type="dxa" w:w="2537"/>
          </w:tcPr>
          <w:p>
            <w:pPr>
              <w:jc w:val="left"/>
            </w:pPr>
            <w:r>
              <w:rPr>
                <w:sz w:val="18"/>
              </w:rPr>
              <w:t xml:space="preserve">Flask sobre AWS Lambda + API Gateway: </w:t>
            </w:r>
            <w:r>
              <w:rPr>
                <w:rFonts w:ascii="Consolas" w:hAnsi="Consolas"/>
                <w:sz w:val="18"/>
              </w:rPr>
              <w:t>GET /recommendations/{user_id}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POST /track-interaction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GET /health</w:t>
            </w:r>
          </w:p>
        </w:tc>
        <w:tc>
          <w:tcPr>
            <w:tcW w:type="dxa" w:w="2537"/>
          </w:tcPr>
          <w:p>
            <w:pPr>
              <w:jc w:val="left"/>
            </w:pPr>
            <w:r>
              <w:rPr>
                <w:sz w:val="18"/>
              </w:rPr>
              <w:t>R.F 9, R.F 11, R.N.F 1, R.N.F 5, R.N.F 9, R.N.F 10, R.N.F 12</w:t>
            </w:r>
          </w:p>
        </w:tc>
      </w:tr>
      <w:tr>
        <w:tc>
          <w:tcPr>
            <w:tcW w:type="dxa" w:w="2537"/>
          </w:tcPr>
          <w:p>
            <w:pPr>
              <w:jc w:val="left"/>
            </w:pPr>
            <w:r>
              <w:rPr>
                <w:b/>
                <w:sz w:val="18"/>
              </w:rPr>
              <w:t>Interfaz</w:t>
            </w:r>
          </w:p>
        </w:tc>
        <w:tc>
          <w:tcPr>
            <w:tcW w:type="dxa" w:w="2537"/>
          </w:tcPr>
          <w:p>
            <w:pPr>
              <w:jc w:val="left"/>
            </w:pPr>
            <w:r>
              <w:rPr>
                <w:sz w:val="18"/>
              </w:rPr>
              <w:t>Presentar las recomendaciones al usuario final y permitir su interacción</w:t>
            </w:r>
          </w:p>
        </w:tc>
        <w:tc>
          <w:tcPr>
            <w:tcW w:type="dxa" w:w="2537"/>
          </w:tcPr>
          <w:p>
            <w:pPr>
              <w:jc w:val="left"/>
            </w:pPr>
            <w:r>
              <w:rPr>
                <w:sz w:val="18"/>
              </w:rPr>
              <w:t>Frontend React: homepage "Recomendado para ti" (10 productos) y página de producto "También te puede interesar" (5 productos), con tarjetas de imagen, nombre, precio y botón</w:t>
            </w:r>
          </w:p>
        </w:tc>
        <w:tc>
          <w:tcPr>
            <w:tcW w:type="dxa" w:w="2537"/>
          </w:tcPr>
          <w:p>
            <w:pPr>
              <w:jc w:val="left"/>
            </w:pPr>
            <w:r>
              <w:rPr>
                <w:sz w:val="18"/>
              </w:rPr>
              <w:t>R.F 1, R.F 2, R.F 3, R.F 4, R.F 10</w:t>
            </w:r>
          </w:p>
        </w:tc>
      </w:tr>
    </w:tbl>
    <w:p>
      <w:r>
        <w:t xml:space="preserve">Relacionando componentes y funciones mediante modelos de referencia (apartado c de la pauta), los cuatro encadenan el ciclo </w:t>
      </w:r>
      <w:r>
        <w:rPr>
          <w:b/>
        </w:rPr>
        <w:t>MLOps</w:t>
      </w:r>
      <w:r>
        <w:t xml:space="preserve">: </w:t>
      </w:r>
      <w:r>
        <w:rPr>
          <w:i/>
        </w:rPr>
        <w:t>ingesta</w:t>
      </w:r>
      <w:r>
        <w:t xml:space="preserve"> (RDS MySQL + S3) → </w:t>
      </w:r>
      <w:r>
        <w:rPr>
          <w:i/>
        </w:rPr>
        <w:t>entrenamiento</w:t>
      </w:r>
      <w:r>
        <w:t xml:space="preserve"> (SageMaker, disparado por EventBridge) → </w:t>
      </w:r>
      <w:r>
        <w:rPr>
          <w:i/>
        </w:rPr>
        <w:t>registro</w:t>
      </w:r>
      <w:r>
        <w:t xml:space="preserve"> (S3 como Model Registry del SVD) → </w:t>
      </w:r>
      <w:r>
        <w:rPr>
          <w:i/>
        </w:rPr>
        <w:t>despliegue</w:t>
      </w:r>
      <w:r>
        <w:t xml:space="preserve"> (API Gateway + Lambda) → </w:t>
      </w:r>
      <w:r>
        <w:rPr>
          <w:i/>
        </w:rPr>
        <w:t>monitoreo</w:t>
      </w:r>
      <w:r>
        <w:t xml:space="preserve"> (CloudWatch y </w:t>
      </w:r>
      <w:r>
        <w:rPr>
          <w:rFonts w:ascii="Consolas" w:hAnsi="Consolas"/>
        </w:rPr>
        <w:t>POST /track-interaction</w:t>
      </w:r>
      <w:r>
        <w:t xml:space="preserve">). Es la manifestación de la </w:t>
      </w:r>
      <w:r>
        <w:rPr>
          <w:b/>
        </w:rPr>
        <w:t>arquitectura de referencia de AWS</w:t>
      </w:r>
      <w:r>
        <w:t xml:space="preserve"> para workloads de IA, donde cada servicio cubre una etapa sin acoplar el modelo al código, cumpliendo R.N.F 14.</w:t>
      </w:r>
    </w:p>
    <w:p>
      <w:pPr>
        <w:pStyle w:val="Heading2"/>
      </w:pPr>
      <w:r>
        <w:t>1.1.6 Ciclo de vida y elementos de los datos</w:t>
      </w:r>
    </w:p>
    <w:p>
      <w:r>
        <w:t>El ciclo de vida abarca la ingesta, el procesamiento, el almacenamiento y el consumo por el modelo.</w:t>
      </w:r>
    </w:p>
    <w:p>
      <w:pPr>
        <w:pStyle w:val="Heading3"/>
      </w:pPr>
      <w:r>
        <w:t>Ingesta de los datos</w:t>
      </w:r>
    </w:p>
    <w:p>
      <w:r>
        <w:t>Se alimenta de dos fuentes: la base de datos AWS de motor MySQL y los archivos históricos de S3 con hasta 12 meses de antigüedad; ambos pasan por un pipeline que asegura datos limpios.</w:t>
      </w:r>
    </w:p>
    <w:p>
      <w:pPr>
        <w:pStyle w:val="Heading3"/>
      </w:pPr>
      <w:r>
        <w:t>Entidades y atributos clave</w:t>
      </w:r>
    </w:p>
    <w:p>
      <w:r>
        <w:t xml:space="preserve">Las </w:t>
      </w:r>
      <w:r>
        <w:rPr>
          <w:i/>
        </w:rPr>
        <w:t>features</w:t>
      </w:r>
      <w:r>
        <w:t xml:space="preserve"> son </w:t>
      </w:r>
      <w:r>
        <w:rPr>
          <w:b/>
        </w:rPr>
        <w:t>user</w:t>
      </w:r>
      <w:r>
        <w:rPr>
          <w:b/>
          <w:i/>
        </w:rPr>
        <w:t>id, product</w:t>
      </w:r>
      <w:r>
        <w:rPr>
          <w:b/>
        </w:rPr>
        <w:t>id, interaction_type, rating, timestamp, categoría, precio</w:t>
      </w:r>
      <w:r>
        <w:t>; su rol en el modelo es el siguiente: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</w:tcPr>
          <w:p>
            <w:pPr>
              <w:jc w:val="left"/>
            </w:pPr>
            <w:r>
              <w:rPr>
                <w:b/>
                <w:sz w:val="18"/>
              </w:rPr>
              <w:t xml:space="preserve">Atributo ( </w:t>
            </w:r>
            <w:r>
              <w:rPr>
                <w:b/>
                <w:i/>
                <w:sz w:val="18"/>
              </w:rPr>
              <w:t>feature</w:t>
            </w:r>
            <w:r>
              <w:rPr>
                <w:b/>
                <w:sz w:val="18"/>
              </w:rPr>
              <w:t xml:space="preserve"> )</w:t>
            </w:r>
          </w:p>
        </w:tc>
        <w:tc>
          <w:tcPr>
            <w:tcW w:type="dxa" w:w="5074"/>
          </w:tcPr>
          <w:p>
            <w:pPr>
              <w:jc w:val="left"/>
            </w:pPr>
            <w:r>
              <w:rPr>
                <w:b/>
                <w:sz w:val="18"/>
              </w:rPr>
              <w:t>Descripción y rol en el modelo</w:t>
            </w:r>
          </w:p>
        </w:tc>
      </w:tr>
      <w:tr>
        <w:tc>
          <w:tcPr>
            <w:tcW w:type="dxa" w:w="5074"/>
          </w:tcPr>
          <w:p>
            <w:pPr>
              <w:jc w:val="left"/>
            </w:pPr>
            <w:r>
              <w:rPr>
                <w:b/>
                <w:sz w:val="18"/>
              </w:rPr>
              <w:t>user_id</w:t>
            </w:r>
          </w:p>
        </w:tc>
        <w:tc>
          <w:tcPr>
            <w:tcW w:type="dxa" w:w="5074"/>
          </w:tcPr>
          <w:p>
            <w:pPr>
              <w:jc w:val="left"/>
            </w:pPr>
            <w:r>
              <w:rPr>
                <w:sz w:val="18"/>
              </w:rPr>
              <w:t>Identifica de forma única al usuario; permite asociar y personalizar los productos recomendados para cada cliente.</w:t>
            </w:r>
          </w:p>
        </w:tc>
      </w:tr>
      <w:tr>
        <w:tc>
          <w:tcPr>
            <w:tcW w:type="dxa" w:w="5074"/>
          </w:tcPr>
          <w:p>
            <w:pPr>
              <w:jc w:val="left"/>
            </w:pPr>
            <w:r>
              <w:rPr>
                <w:b/>
                <w:sz w:val="18"/>
              </w:rPr>
              <w:t>product_id</w:t>
            </w:r>
          </w:p>
        </w:tc>
        <w:tc>
          <w:tcPr>
            <w:tcW w:type="dxa" w:w="5074"/>
          </w:tcPr>
          <w:p>
            <w:pPr>
              <w:jc w:val="left"/>
            </w:pPr>
            <w:r>
              <w:rPr>
                <w:sz w:val="18"/>
              </w:rPr>
              <w:t>Identifica de forma único el producto a recomendar.</w:t>
            </w:r>
          </w:p>
        </w:tc>
      </w:tr>
      <w:tr>
        <w:tc>
          <w:tcPr>
            <w:tcW w:type="dxa" w:w="5074"/>
          </w:tcPr>
          <w:p>
            <w:pPr>
              <w:jc w:val="left"/>
            </w:pPr>
            <w:r>
              <w:rPr>
                <w:b/>
                <w:sz w:val="18"/>
              </w:rPr>
              <w:t>interaction_type</w:t>
            </w:r>
          </w:p>
        </w:tc>
        <w:tc>
          <w:tcPr>
            <w:tcW w:type="dxa" w:w="5074"/>
          </w:tcPr>
          <w:p>
            <w:pPr>
              <w:jc w:val="left"/>
            </w:pPr>
            <w:r>
              <w:rPr>
                <w:sz w:val="18"/>
              </w:rPr>
              <w:t>Registra el tipo de interacción (clic, vista, compra); permite al modelo ponderar los comportamientos (p. ej., recomendar productos similares a los comprados).</w:t>
            </w:r>
          </w:p>
        </w:tc>
      </w:tr>
      <w:tr>
        <w:tc>
          <w:tcPr>
            <w:tcW w:type="dxa" w:w="5074"/>
          </w:tcPr>
          <w:p>
            <w:pPr>
              <w:jc w:val="left"/>
            </w:pPr>
            <w:r>
              <w:rPr>
                <w:b/>
                <w:sz w:val="18"/>
              </w:rPr>
              <w:t>rating</w:t>
            </w:r>
          </w:p>
        </w:tc>
        <w:tc>
          <w:tcPr>
            <w:tcW w:type="dxa" w:w="5074"/>
          </w:tcPr>
          <w:p>
            <w:pPr>
              <w:jc w:val="left"/>
            </w:pPr>
            <w:r>
              <w:rPr>
                <w:sz w:val="18"/>
              </w:rPr>
              <w:t>Calificación del usuario; permite discriminar productos según su recepción por parte de los usuarios.</w:t>
            </w:r>
          </w:p>
        </w:tc>
      </w:tr>
      <w:tr>
        <w:tc>
          <w:tcPr>
            <w:tcW w:type="dxa" w:w="5074"/>
          </w:tcPr>
          <w:p>
            <w:pPr>
              <w:jc w:val="left"/>
            </w:pPr>
            <w:r>
              <w:rPr>
                <w:b/>
                <w:sz w:val="18"/>
              </w:rPr>
              <w:t>timestamp</w:t>
            </w:r>
          </w:p>
        </w:tc>
        <w:tc>
          <w:tcPr>
            <w:tcW w:type="dxa" w:w="5074"/>
          </w:tcPr>
          <w:p>
            <w:pPr>
              <w:jc w:val="left"/>
            </w:pPr>
            <w:r>
              <w:rPr>
                <w:sz w:val="18"/>
              </w:rPr>
              <w:t>Guarda la fecha y hora de la interacción; sirve para auditoría y análisis temporal.</w:t>
            </w:r>
          </w:p>
        </w:tc>
      </w:tr>
      <w:tr>
        <w:tc>
          <w:tcPr>
            <w:tcW w:type="dxa" w:w="5074"/>
          </w:tcPr>
          <w:p>
            <w:pPr>
              <w:jc w:val="left"/>
            </w:pPr>
            <w:r>
              <w:rPr>
                <w:b/>
                <w:sz w:val="18"/>
              </w:rPr>
              <w:t>categoría</w:t>
            </w:r>
          </w:p>
        </w:tc>
        <w:tc>
          <w:tcPr>
            <w:tcW w:type="dxa" w:w="5074"/>
          </w:tcPr>
          <w:p>
            <w:pPr>
              <w:jc w:val="left"/>
            </w:pPr>
            <w:r>
              <w:rPr>
                <w:sz w:val="18"/>
              </w:rPr>
              <w:t>Ayuda a separar los productos en clases (categorías), facilitando el filtrado y la organización del catálogo.</w:t>
            </w:r>
          </w:p>
        </w:tc>
      </w:tr>
      <w:tr>
        <w:tc>
          <w:tcPr>
            <w:tcW w:type="dxa" w:w="5074"/>
          </w:tcPr>
          <w:p>
            <w:pPr>
              <w:jc w:val="left"/>
            </w:pPr>
            <w:r>
              <w:rPr>
                <w:b/>
                <w:sz w:val="18"/>
              </w:rPr>
              <w:t>precio</w:t>
            </w:r>
          </w:p>
        </w:tc>
        <w:tc>
          <w:tcPr>
            <w:tcW w:type="dxa" w:w="5074"/>
          </w:tcPr>
          <w:p>
            <w:pPr>
              <w:jc w:val="left"/>
            </w:pPr>
            <w:r>
              <w:rPr>
                <w:sz w:val="18"/>
              </w:rPr>
              <w:t>Guarda el precio de un producto; permite filtrar recomendaciones según el presupuesto del usuario.</w:t>
            </w:r>
          </w:p>
        </w:tc>
      </w:tr>
    </w:tbl>
    <w:p>
      <w:pPr>
        <w:pStyle w:val="Heading3"/>
      </w:pPr>
      <w:r>
        <w:t>Procesamiento y transformación de los datos</w:t>
      </w:r>
    </w:p>
    <w:p>
      <w:r>
        <w:t xml:space="preserve">Los datos se transforman en un pipeline con </w:t>
      </w:r>
      <w:r>
        <w:rPr>
          <w:b/>
        </w:rPr>
        <w:t>pandas</w:t>
      </w:r>
      <w:r>
        <w:t>, limpiando valores nulos y atípicos que rompan reglas de negocio. Se preserva la integridad con copias de respaldo y la eliminación de datos sensibles; los datasets se entregan en formato CSV.</w:t>
      </w:r>
    </w:p>
    <w:p>
      <w:pPr>
        <w:pStyle w:val="Heading3"/>
      </w:pPr>
      <w:r>
        <w:t>Almacenamiento de los datos</w:t>
      </w:r>
    </w:p>
    <w:p>
      <w:r>
        <w:t xml:space="preserve">Cada tipo de dato reposa según su uso: Amazon RDS (MySQL) para las transacciones diarias y Amazon S3 como </w:t>
      </w:r>
      <w:r>
        <w:rPr>
          <w:i/>
        </w:rPr>
        <w:t>data lake</w:t>
      </w:r>
      <w:r>
        <w:t xml:space="preserve"> para el histórico y los artefactos del modelo. Se emplea un data lake porque la fuente permanece sin procesar y su costo es menor.</w:t>
      </w:r>
    </w:p>
    <w:p>
      <w:pPr>
        <w:pStyle w:val="Heading2"/>
      </w:pPr>
      <w:r>
        <w:t>1.1.7 Elementos AWS y su función</w:t>
      </w:r>
    </w:p>
    <w:p>
      <w:r>
        <w:t>Elementos de AWS y su función en el proyecto:</w:t>
      </w:r>
    </w:p>
    <w:p>
      <w:pPr>
        <w:pStyle w:val="ListBullet"/>
        <w:ind w:left="340"/>
        <w:jc w:val="left"/>
      </w:pPr>
      <w:r>
        <w:rPr>
          <w:b/>
        </w:rPr>
        <w:t>Amazon SageMaker:</w:t>
      </w:r>
      <w:r>
        <w:t xml:space="preserve"> cómputo de entrenamiento; ejecuta el job semanal en ml.t3.medium, entrena 150K interacciones en 15 minutos y se apaga.</w:t>
      </w:r>
    </w:p>
    <w:p>
      <w:pPr>
        <w:pStyle w:val="ListBullet"/>
        <w:ind w:left="340"/>
        <w:jc w:val="left"/>
      </w:pPr>
      <w:r>
        <w:rPr>
          <w:b/>
        </w:rPr>
        <w:t>Amazon EventBridge:</w:t>
      </w:r>
      <w:r>
        <w:t xml:space="preserve"> programador de tareas que dispara el reentrenamiento semanal, cada domingo a las 2:00 AM.</w:t>
      </w:r>
    </w:p>
    <w:p>
      <w:pPr>
        <w:pStyle w:val="ListBullet"/>
        <w:ind w:left="340"/>
        <w:jc w:val="left"/>
      </w:pPr>
      <w:r>
        <w:rPr>
          <w:b/>
        </w:rPr>
        <w:t>Amazon S3 (Simple Storage Service):</w:t>
      </w:r>
      <w:r>
        <w:t xml:space="preserve"> data lake y Model Registry; guarda el historial de 12 meses y el modelo SVD serializado.</w:t>
      </w:r>
    </w:p>
    <w:p>
      <w:pPr>
        <w:pStyle w:val="ListBullet"/>
        <w:ind w:left="340"/>
        <w:jc w:val="left"/>
      </w:pPr>
      <w:r>
        <w:rPr>
          <w:b/>
        </w:rPr>
        <w:t>AWS Lambda:</w:t>
      </w:r>
      <w:r>
        <w:t xml:space="preserve"> cómputo serverless de inferencia; resuelve </w:t>
      </w:r>
      <w:r>
        <w:rPr>
          <w:rFonts w:ascii="Consolas" w:hAnsi="Consolas"/>
        </w:rPr>
        <w:t>/recommendations/{user_id}</w:t>
      </w:r>
      <w:r>
        <w:t xml:space="preserve"> en milisegundos, sin servidores dedicados.</w:t>
      </w:r>
    </w:p>
    <w:p>
      <w:pPr>
        <w:pStyle w:val="ListBullet"/>
        <w:ind w:left="340"/>
        <w:jc w:val="left"/>
      </w:pPr>
      <w:r>
        <w:rPr>
          <w:b/>
        </w:rPr>
        <w:t>Amazon API Gateway:</w:t>
      </w:r>
      <w:r>
        <w:t xml:space="preserve"> gestión de APIs; enruta HTTP hacia Lambda, cifra en HTTPS y aplica autenticación por API Key y </w:t>
      </w:r>
      <w:r>
        <w:rPr>
          <w:i/>
        </w:rPr>
        <w:t>rate limiting</w:t>
      </w:r>
      <w:r>
        <w:t xml:space="preserve"> de 100 req/min.</w:t>
      </w:r>
    </w:p>
    <w:p>
      <w:pPr>
        <w:pStyle w:val="ListBullet"/>
        <w:ind w:left="340"/>
        <w:jc w:val="left"/>
      </w:pPr>
      <w:r>
        <w:rPr>
          <w:b/>
        </w:rPr>
        <w:t>Amazon RDS (MySQL):</w:t>
      </w:r>
      <w:r>
        <w:t xml:space="preserve"> base de datos transaccional ( </w:t>
      </w:r>
      <w:r>
        <w:rPr>
          <w:i/>
        </w:rPr>
        <w:t>OLTP</w:t>
      </w:r>
      <w:r>
        <w:t xml:space="preserve"> ) de las interacciones diarias en caliente (clics, compras, catálogo).</w:t>
      </w:r>
    </w:p>
    <w:p>
      <w:pPr>
        <w:pStyle w:val="ListBullet"/>
        <w:ind w:left="340"/>
        <w:jc w:val="left"/>
      </w:pPr>
      <w:r>
        <w:rPr>
          <w:b/>
        </w:rPr>
        <w:t>Amazon CloudWatch:</w:t>
      </w:r>
      <w:r>
        <w:t xml:space="preserve"> observabilidad; recolecta logs con </w:t>
      </w:r>
      <w:r>
        <w:rPr>
          <w:rFonts w:ascii="Consolas" w:hAnsi="Consolas"/>
        </w:rPr>
        <w:t>request_id</w:t>
      </w:r>
      <w:r>
        <w:t>, genera métricas de latencia (p50, p95, p99) y alarma sobre el umbral crítico.</w:t>
      </w:r>
    </w:p>
    <w:p>
      <w:pPr>
        <w:pStyle w:val="ListBullet"/>
        <w:ind w:left="340"/>
        <w:jc w:val="left"/>
      </w:pPr>
      <w:r>
        <w:rPr>
          <w:b/>
        </w:rPr>
        <w:t>AWS Systems Manager Parameter Store:</w:t>
      </w:r>
      <w:r>
        <w:t xml:space="preserve"> seguridad y configuración; guarda credenciales y API Keys desacopladas del código fuente.</w:t>
      </w:r>
    </w:p>
    <w:p>
      <w:pPr>
        <w:pStyle w:val="Heading1"/>
      </w:pPr>
      <w:r>
        <w:t>1.2 Principios de diseño arquitectónico</w:t>
      </w:r>
    </w:p>
    <w:p>
      <w:r>
        <w:t>Principios arquitectónicos que el proyecto cumple: escalabilidad, flexibilidad, seguridad, observabilidad y confiabilidad.</w:t>
      </w:r>
    </w:p>
    <w:p>
      <w:pPr>
        <w:pStyle w:val="Heading2"/>
      </w:pPr>
      <w:r>
        <w:t>1.2.1 Escalabilidad</w:t>
      </w:r>
    </w:p>
    <w:p>
      <w:r>
        <w:t>La escalabilidad es horizontal, automática y elástica: AWS Lambda y Amazon API Gateway escalan de 0 a 1.000 instancias concurrentes (validado con 500 usuarios sin errores). En Machine Learning, SageMaker y EventBridge provisionan cómputo efímero solo durante los 15 minutos del reentrenamiento semanal ($0.20/mes en entrenamiento y $28/mes en inferencia). El balanceo redirige el tráfico ante fallos y reduce instancias ante menor demanda.</w:t>
      </w:r>
    </w:p>
    <w:p>
      <w:pPr>
        <w:pStyle w:val="Heading2"/>
      </w:pPr>
      <w:r>
        <w:t>1.2.2 Flexibilidad</w:t>
      </w:r>
    </w:p>
    <w:p>
      <w:r>
        <w:t>La flexibilidad se logra desacoplando la lógica de servicio de los artefactos de Machine Learning: el modelo vive como archivo binario en Amazon S3 y las credenciales en AWS Systems Manager Parameter Store. Así se actualiza el motor sin tocar el código de la API ni los contratos REST de AWS Lambda y API Gateway; validado migrando de SVD a Alternating Least Squares (ALS) en 2 horas sin interrumpir el frontend.</w:t>
      </w:r>
    </w:p>
    <w:p>
      <w:pPr>
        <w:pStyle w:val="Heading2"/>
      </w:pPr>
      <w:r>
        <w:t>1.2.3 Seguridad</w:t>
      </w:r>
    </w:p>
    <w:p>
      <w:r>
        <w:t xml:space="preserve">La seguridad aplica defensa en profundidad y mínimo privilegio con AWS IAM: cada componente dispone solo de los permisos necesarios. En el perímetro, Amazon API Gateway impone cifrado HTTPS, API Keys y </w:t>
      </w:r>
      <w:r>
        <w:rPr>
          <w:i/>
        </w:rPr>
        <w:t>rate limiting</w:t>
      </w:r>
      <w:r>
        <w:t xml:space="preserve"> a 100 req/min; las credenciales se cifran en AWS Systems Manager Parameter Store, sin secretos en el código. Los datasets se anonimizan y los logs de Amazon CloudWatch carecen de PII, con cero vulnerabilidades críticas en pruebas de penetración ( </w:t>
      </w:r>
      <w:r>
        <w:rPr>
          <w:i/>
        </w:rPr>
        <w:t>penetration testing</w:t>
      </w:r>
      <w:r>
        <w:t xml:space="preserve"> ).</w:t>
      </w:r>
    </w:p>
    <w:p>
      <w:pPr>
        <w:pStyle w:val="Heading2"/>
      </w:pPr>
      <w:r>
        <w:t>1.2.4 Observabilidad</w:t>
      </w:r>
    </w:p>
    <w:p>
      <w:r>
        <w:t xml:space="preserve">La observabilidad se garantiza con Amazon CloudWatch (Logs, Metrics, Dashboards y Alarms): las trazas de AWS Lambda se emiten en JSON con </w:t>
      </w:r>
      <w:r>
        <w:rPr>
          <w:rFonts w:ascii="Consolas" w:hAnsi="Consolas"/>
        </w:rPr>
        <w:t>request_id</w:t>
      </w:r>
      <w:r>
        <w:t xml:space="preserve"> y sin PII. El monitoreo supervisa latencia (p50 235 ms, p95 420 ms, p99 780 ms), arranques en frío (4.2%) y errores (0.8%), con alarmas Warning (&gt;800 ms) y Crítica (&gt;1.5 s o &gt;5%); permite detectar incidentes en menos de 15 minutos y gobierna los rollbacks del pipeline.</w:t>
      </w:r>
    </w:p>
    <w:p>
      <w:pPr>
        <w:pStyle w:val="Heading2"/>
      </w:pPr>
      <w:r>
        <w:t>1.2.5 Confiabilidad</w:t>
      </w:r>
    </w:p>
    <w:p>
      <w:r>
        <w:t xml:space="preserve">El sistema aplica tolerancia a fallos y degradación elegante ( </w:t>
      </w:r>
      <w:r>
        <w:rPr>
          <w:i/>
        </w:rPr>
        <w:t>graceful degradation</w:t>
      </w:r>
      <w:r>
        <w:t xml:space="preserve"> ) con una disponibilidad del 99.4%: reintento ante errores 5xx, timeout de 2 segundos y fallback de productos más vendidos cacheados en menos de 500 ms. La confiabilidad de los despliegues se asegura con CI/CD (GitHub Actions y AWS SAM) en Canary al 10% por minuto, con rollback si el error supera el 3%; el modelo inmutable en S3 y el endpoint GET /health garantizan recuperabilidad y verificación del estado.</w:t>
      </w:r>
    </w:p>
    <w:p>
      <w:pPr>
        <w:pStyle w:val="Heading2"/>
      </w:pPr>
      <w:r>
        <w:t>1.2.6 Decisiones arquitectónicas clave, basadas en principios de observabilidad y confiabilidad</w:t>
      </w:r>
    </w:p>
    <w:p>
      <w:r>
        <w:rPr>
          <w:b/>
        </w:rPr>
        <w:t>Decisión 1 — Despliegue Canary gobernado por alarmas de CloudWatch</w:t>
      </w:r>
    </w:p>
    <w:p>
      <w:pPr>
        <w:pStyle w:val="ListBullet"/>
        <w:ind w:left="340"/>
        <w:jc w:val="left"/>
      </w:pPr>
      <w:r>
        <w:rPr>
          <w:b/>
        </w:rPr>
        <w:t>Decisión:</w:t>
      </w:r>
      <w:r>
        <w:t xml:space="preserve"> GitHub Actions + AWS SAM despliegan el 10% de tráfico por minuto; CloudWatch revierte si el error supera el 3%.</w:t>
      </w:r>
    </w:p>
    <w:p>
      <w:pPr>
        <w:pStyle w:val="ListBullet"/>
        <w:ind w:left="340"/>
        <w:jc w:val="left"/>
      </w:pPr>
      <w:r>
        <w:rPr>
          <w:b/>
        </w:rPr>
        <w:t>Principio(s):</w:t>
      </w:r>
      <w:r>
        <w:t xml:space="preserve"> observabilidad y confiabilidad.</w:t>
      </w:r>
    </w:p>
    <w:p>
      <w:pPr>
        <w:pStyle w:val="ListBullet"/>
        <w:ind w:left="340"/>
        <w:jc w:val="left"/>
      </w:pPr>
      <w:r>
        <w:rPr>
          <w:b/>
        </w:rPr>
        <w:t>Alternativas descartadas:</w:t>
      </w:r>
      <w:r>
        <w:t xml:space="preserve"> </w:t>
      </w:r>
      <w:r>
        <w:rPr>
          <w:i/>
        </w:rPr>
        <w:t>big bang</w:t>
      </w:r>
      <w:r>
        <w:t xml:space="preserve"> (100% del tráfico sin señal previa) y </w:t>
      </w:r>
      <w:r>
        <w:rPr>
          <w:i/>
        </w:rPr>
        <w:t>blue/green</w:t>
      </w:r>
      <w:r>
        <w:t xml:space="preserve"> completo (duplica infraestructura y el costo del R.N.F 4).</w:t>
      </w:r>
    </w:p>
    <w:p>
      <w:pPr>
        <w:pStyle w:val="ListBullet"/>
        <w:ind w:left="340"/>
        <w:jc w:val="left"/>
      </w:pPr>
      <w:r>
        <w:rPr>
          <w:b/>
        </w:rPr>
        <w:t>Consecuencia/validación:</w:t>
      </w:r>
      <w:r>
        <w:t xml:space="preserve"> cumple R.N.F 13 y sostiene un uptime de 99.4% sobre el 99% exigido en R.N.F 2.</w:t>
      </w:r>
    </w:p>
    <w:p>
      <w:r>
        <w:rPr>
          <w:b/>
        </w:rPr>
        <w:t>Decisión 2 — Resiliencia en inferencia: retry, timeout 2 s y fallback</w:t>
      </w:r>
    </w:p>
    <w:p>
      <w:pPr>
        <w:pStyle w:val="ListBullet"/>
        <w:ind w:left="340"/>
        <w:jc w:val="left"/>
      </w:pPr>
      <w:r>
        <w:rPr>
          <w:b/>
        </w:rPr>
        <w:t>Decisión:</w:t>
      </w:r>
      <w:r>
        <w:t xml:space="preserve"> ante errores 5xx el cliente reintenta con timeout de 2 s y, si el motor falla, degrada a productos más vendidos cacheados.</w:t>
      </w:r>
    </w:p>
    <w:p>
      <w:pPr>
        <w:pStyle w:val="ListBullet"/>
        <w:ind w:left="340"/>
        <w:jc w:val="left"/>
      </w:pPr>
      <w:r>
        <w:rPr>
          <w:b/>
        </w:rPr>
        <w:t>Principio(s):</w:t>
      </w:r>
      <w:r>
        <w:t xml:space="preserve"> confiabilidad.</w:t>
      </w:r>
    </w:p>
    <w:p>
      <w:pPr>
        <w:pStyle w:val="ListBullet"/>
        <w:ind w:left="340"/>
        <w:jc w:val="left"/>
      </w:pPr>
      <w:r>
        <w:rPr>
          <w:b/>
        </w:rPr>
        <w:t>Alternativas descartadas:</w:t>
      </w:r>
      <w:r>
        <w:t xml:space="preserve"> propagar el error al usuario y reintentos superiores a 2 s (incompatible con la p95 de 420 ms).</w:t>
      </w:r>
    </w:p>
    <w:p>
      <w:pPr>
        <w:pStyle w:val="ListBullet"/>
        <w:ind w:left="340"/>
        <w:jc w:val="left"/>
      </w:pPr>
      <w:r>
        <w:rPr>
          <w:b/>
        </w:rPr>
        <w:t>Consecuencia/validación:</w:t>
      </w:r>
      <w:r>
        <w:t xml:space="preserve"> cumple R.N.F 12 (fallback &lt;500 ms) y R.F 8, con p50 de 235 ms y error de 0.8%.</w:t>
      </w:r>
    </w:p>
    <w:p>
      <w:r>
        <w:rPr>
          <w:b/>
        </w:rPr>
        <w:t xml:space="preserve">Decisión 3 — Trazas </w:t>
      </w:r>
      <w:r>
        <w:rPr>
          <w:rFonts w:ascii="Consolas" w:hAnsi="Consolas"/>
          <w:b/>
        </w:rPr>
        <w:t>request_id</w:t>
      </w:r>
      <w:r>
        <w:rPr>
          <w:b/>
        </w:rPr>
        <w:t xml:space="preserve"> sin PII y alarmas segmentadas</w:t>
      </w:r>
    </w:p>
    <w:p>
      <w:pPr>
        <w:pStyle w:val="ListBullet"/>
        <w:ind w:left="340"/>
        <w:jc w:val="left"/>
      </w:pPr>
      <w:r>
        <w:rPr>
          <w:b/>
        </w:rPr>
        <w:t>Decisión:</w:t>
      </w:r>
      <w:r>
        <w:t xml:space="preserve"> Lambda emite logs JSON con </w:t>
      </w:r>
      <w:r>
        <w:rPr>
          <w:rFonts w:ascii="Consolas" w:hAnsi="Consolas"/>
        </w:rPr>
        <w:t>request_id</w:t>
      </w:r>
      <w:r>
        <w:t xml:space="preserve"> y sin PII; CloudWatch define alarmas Warning (&gt;800 ms) y Crítica (&gt;1.5 s o &gt;5%).</w:t>
      </w:r>
    </w:p>
    <w:p>
      <w:pPr>
        <w:pStyle w:val="ListBullet"/>
        <w:ind w:left="340"/>
        <w:jc w:val="left"/>
      </w:pPr>
      <w:r>
        <w:rPr>
          <w:b/>
        </w:rPr>
        <w:t>Principio(s):</w:t>
      </w:r>
      <w:r>
        <w:t xml:space="preserve"> observabilidad.</w:t>
      </w:r>
    </w:p>
    <w:p>
      <w:pPr>
        <w:pStyle w:val="ListBullet"/>
        <w:ind w:left="340"/>
        <w:jc w:val="left"/>
      </w:pPr>
      <w:r>
        <w:rPr>
          <w:b/>
        </w:rPr>
        <w:t>Alternativas descartadas:</w:t>
      </w:r>
      <w:r>
        <w:t xml:space="preserve"> logs en texto libre (impiden correlación) y un solo umbral (fatiga o detección tardía).</w:t>
      </w:r>
    </w:p>
    <w:p>
      <w:pPr>
        <w:pStyle w:val="ListBullet"/>
        <w:ind w:left="340"/>
        <w:jc w:val="left"/>
      </w:pPr>
      <w:r>
        <w:rPr>
          <w:b/>
        </w:rPr>
        <w:t>Consecuencia/validación:</w:t>
      </w:r>
      <w:r>
        <w:t xml:space="preserve"> cumple R.N.F 11 y detecta incidentes en menos de 15 minutos con p50 235 ms, p95 420 ms, p99 780 ms, cold starts 4.2% y errores 0.8%.</w:t>
      </w:r>
    </w:p>
    <w:p>
      <w:r>
        <w:rPr>
          <w:b/>
        </w:rPr>
        <w:t xml:space="preserve">Decisión 4 — Modelo inmutable en S3 y health check </w:t>
      </w:r>
      <w:r>
        <w:rPr>
          <w:rFonts w:ascii="Consolas" w:hAnsi="Consolas"/>
          <w:b/>
        </w:rPr>
        <w:t>/health</w:t>
      </w:r>
    </w:p>
    <w:p>
      <w:pPr>
        <w:pStyle w:val="ListBullet"/>
        <w:ind w:left="340"/>
        <w:jc w:val="left"/>
      </w:pPr>
      <w:r>
        <w:rPr>
          <w:b/>
        </w:rPr>
        <w:t>Decisión:</w:t>
      </w:r>
      <w:r>
        <w:t xml:space="preserve"> cada modelo SVD se registra como artefacto inmutable y versionado en S3 y API Gateway expone </w:t>
      </w:r>
      <w:r>
        <w:rPr>
          <w:rFonts w:ascii="Consolas" w:hAnsi="Consolas"/>
        </w:rPr>
        <w:t>GET /health</w:t>
      </w:r>
      <w:r>
        <w:t>.</w:t>
      </w:r>
    </w:p>
    <w:p>
      <w:pPr>
        <w:pStyle w:val="ListBullet"/>
        <w:ind w:left="340"/>
        <w:jc w:val="left"/>
      </w:pPr>
      <w:r>
        <w:rPr>
          <w:b/>
        </w:rPr>
        <w:t>Principio(s):</w:t>
      </w:r>
      <w:r>
        <w:t xml:space="preserve"> confiabilidad y observabilidad.</w:t>
      </w:r>
    </w:p>
    <w:p>
      <w:pPr>
        <w:pStyle w:val="ListBullet"/>
        <w:ind w:left="340"/>
        <w:jc w:val="left"/>
      </w:pPr>
      <w:r>
        <w:rPr>
          <w:b/>
        </w:rPr>
        <w:t>Alternativas descartadas:</w:t>
      </w:r>
      <w:r>
        <w:t xml:space="preserve"> sobrescribir el modelo (impide revertir) y confiar en la ausencia de errores (detección reactiva).</w:t>
      </w:r>
    </w:p>
    <w:p>
      <w:pPr>
        <w:pStyle w:val="ListBullet"/>
        <w:ind w:left="340"/>
        <w:jc w:val="left"/>
      </w:pPr>
      <w:r>
        <w:rPr>
          <w:b/>
        </w:rPr>
        <w:t>Consecuencia/validación:</w:t>
      </w:r>
      <w:r>
        <w:t xml:space="preserve"> garantiza la recuperabilidad del artefacto y la actualización sin interrupción del R.N.F 14, coherente con R.N.F 6.</w:t>
      </w:r>
    </w:p>
    <w:p>
      <w:pPr>
        <w:pStyle w:val="Heading1"/>
      </w:pPr>
      <w:r>
        <w:t>1.3 Especificación de infraestructura</w:t>
      </w:r>
    </w:p>
    <w:p>
      <w:r>
        <w:t xml:space="preserve">Los recursos computacionales se separan en dos apartados: </w:t>
      </w:r>
      <w:r>
        <w:rPr>
          <w:b/>
        </w:rPr>
        <w:t>entrenamiento e inferencia en tiempo real.</w:t>
      </w:r>
    </w:p>
    <w:p>
      <w:pPr>
        <w:pStyle w:val="Heading2"/>
      </w:pPr>
      <w:r>
        <w:t>1.3.1 Recursos computacionales (CPU, GPU y TPU)</w:t>
      </w:r>
    </w:p>
    <w:p>
      <w:r>
        <w:rPr>
          <w:b/>
        </w:rPr>
        <w:t>Fase de entrenamiento (Amazon SageMaker):</w:t>
      </w:r>
    </w:p>
    <w:p>
      <w:pPr>
        <w:pStyle w:val="ListBullet"/>
        <w:ind w:left="340"/>
        <w:jc w:val="left"/>
      </w:pPr>
      <w:r>
        <w:rPr>
          <w:b/>
        </w:rPr>
        <w:t>Recursos asignados:</w:t>
      </w:r>
      <w:r>
        <w:t xml:space="preserve"> instancia </w:t>
      </w:r>
      <w:r>
        <w:rPr>
          <w:b/>
        </w:rPr>
        <w:t>ml.t3.medium</w:t>
      </w:r>
      <w:r>
        <w:t xml:space="preserve"> con </w:t>
      </w:r>
      <w:r>
        <w:rPr>
          <w:b/>
        </w:rPr>
        <w:t>2 vCPU y 4 GB</w:t>
      </w:r>
      <w:r>
        <w:t xml:space="preserve"> de RAM.</w:t>
      </w:r>
    </w:p>
    <w:p>
      <w:pPr>
        <w:pStyle w:val="ListBullet"/>
        <w:ind w:left="340"/>
        <w:jc w:val="left"/>
      </w:pPr>
      <w:r>
        <w:rPr>
          <w:b/>
        </w:rPr>
        <w:t>Evaluación de GPU/TPU:</w:t>
      </w:r>
      <w:r>
        <w:t xml:space="preserve"> no se requieren aceleradores: el SVD de Surprise es CPU-intensivo y no aprovecha paralelismo de tensores; con este perfil, los 150.000 registros entrenan en 15 minutos a $0.20 USD/mes.</w:t>
      </w:r>
    </w:p>
    <w:p>
      <w:r>
        <w:rPr>
          <w:b/>
        </w:rPr>
        <w:t>Fase de inferencia en tiempo real (AWS Lambda):</w:t>
      </w:r>
    </w:p>
    <w:p>
      <w:pPr>
        <w:pStyle w:val="ListBullet"/>
        <w:ind w:left="340"/>
        <w:jc w:val="left"/>
      </w:pPr>
      <w:r>
        <w:rPr>
          <w:b/>
        </w:rPr>
        <w:t>Recursos asignados:</w:t>
      </w:r>
      <w:r>
        <w:t xml:space="preserve"> funciones serverless con </w:t>
      </w:r>
      <w:r>
        <w:rPr>
          <w:b/>
        </w:rPr>
        <w:t>1 GB de memoria RAM</w:t>
      </w:r>
      <w:r>
        <w:t>.</w:t>
      </w:r>
    </w:p>
    <w:p>
      <w:pPr>
        <w:pStyle w:val="ListBullet"/>
        <w:ind w:left="340"/>
        <w:jc w:val="left"/>
      </w:pPr>
      <w:r>
        <w:rPr>
          <w:b/>
        </w:rPr>
        <w:t>Evaluación de GPU/TPU:</w:t>
      </w:r>
      <w:r>
        <w:t xml:space="preserve"> no requiere aceleración dedicada: la CPU serverless procesa solicitudes en 300 ms ( </w:t>
      </w:r>
      <w:r>
        <w:rPr>
          <w:i/>
        </w:rPr>
        <w:t>warm requests</w:t>
      </w:r>
      <w:r>
        <w:t xml:space="preserve"> ) y escala de 0 a 1.000 instancias.</w:t>
      </w:r>
    </w:p>
    <w:p>
      <w:pPr>
        <w:pStyle w:val="Heading2"/>
      </w:pPr>
      <w:r>
        <w:t>1.3.2 Selección de frameworks de desarrollo de IA apropiados</w:t>
      </w:r>
    </w:p>
    <w:p>
      <w:r>
        <w:rPr>
          <w:b/>
        </w:rPr>
        <w:t>Framework de IA seleccionado:</w:t>
      </w:r>
    </w:p>
    <w:p>
      <w:pPr>
        <w:pStyle w:val="ListBullet"/>
        <w:ind w:left="340"/>
        <w:jc w:val="left"/>
      </w:pPr>
      <w:r>
        <w:rPr>
          <w:b/>
        </w:rPr>
        <w:t>Python Surprise (versión 1.1.3):</w:t>
      </w:r>
      <w:r>
        <w:t xml:space="preserve"> recomendación con filtrado colaborativo y factorización matricial (SVD/ALS), optimizada en CPU sin tensores ni GPU; entrena 150.000 interacciones en 15 minutos con RMSE 0.85 y Precisión@10 de 0.72.</w:t>
      </w:r>
    </w:p>
    <w:p>
      <w:r>
        <w:rPr>
          <w:b/>
        </w:rPr>
        <w:t>Librerías complementarias:</w:t>
      </w:r>
    </w:p>
    <w:p>
      <w:pPr>
        <w:pStyle w:val="ListBullet"/>
        <w:ind w:left="340"/>
        <w:jc w:val="left"/>
      </w:pPr>
      <w:r>
        <w:t>Pandas: extracción, limpieza y estructuración tabular de las variables (user</w:t>
      </w:r>
      <w:r>
        <w:rPr>
          <w:i/>
        </w:rPr>
        <w:t>id, product</w:t>
      </w:r>
      <w:r>
        <w:t>id, rating, timestamp) antes de alimentar el algoritmo.</w:t>
      </w:r>
    </w:p>
    <w:p>
      <w:pPr>
        <w:pStyle w:val="ListBullet"/>
        <w:ind w:left="340"/>
        <w:jc w:val="left"/>
      </w:pPr>
      <w:r>
        <w:rPr>
          <w:b/>
        </w:rPr>
        <w:t>Flask / Werkzeug:</w:t>
      </w:r>
      <w:r>
        <w:t xml:space="preserve"> microframework que encapsula el artefacto serializado y lo sirve como </w:t>
      </w:r>
      <w:r>
        <w:rPr>
          <w:b/>
        </w:rPr>
        <w:t>API REST</w:t>
      </w:r>
      <w:r>
        <w:t xml:space="preserve"> dentro del contenedor serverless de AWS Lambda, con latencia p50 de 235 ms.</w:t>
      </w:r>
    </w:p>
    <w:p>
      <w:r>
        <w:rPr>
          <w:b/>
        </w:rPr>
        <w:t>Cuestionamiento de frameworks o librerías como TensorFlow / PyTorch:</w:t>
      </w:r>
    </w:p>
    <w:p>
      <w:pPr>
        <w:pStyle w:val="ListBullet"/>
        <w:ind w:left="340"/>
        <w:jc w:val="left"/>
      </w:pPr>
      <w:r>
        <w:t xml:space="preserve">Aunque TensorFlow (con TensorFlow Recommenders) o PyTorch son estándar para redes profundas (TwoTower, autoencoders), para los 5.000 productos y 50.000 usuarios actuales, </w:t>
      </w:r>
      <w:r>
        <w:rPr>
          <w:b/>
        </w:rPr>
        <w:t>Surprise ofrece menor complejidad de despliegue, empaquetado mínimo para no penalizar el</w:t>
      </w:r>
      <w:r>
        <w:t xml:space="preserve"> </w:t>
      </w:r>
      <w:r>
        <w:rPr>
          <w:b/>
          <w:i/>
        </w:rPr>
        <w:t>cold start</w:t>
      </w:r>
      <w:r>
        <w:rPr>
          <w:b/>
        </w:rPr>
        <w:t xml:space="preserve"> de Lambda y cumplimiento del presupuesto</w:t>
      </w:r>
      <w:r>
        <w:t xml:space="preserve"> ($0.20 USD en entrenamiento). Queda reservada como evolución si el catálogo escala o requiere </w:t>
      </w:r>
      <w:r>
        <w:rPr>
          <w:i/>
        </w:rPr>
        <w:t>embeddings</w:t>
      </w:r>
      <w:r>
        <w:t xml:space="preserve"> multimodales.</w:t>
      </w:r>
    </w:p>
    <w:p>
      <w:pPr>
        <w:pStyle w:val="Heading2"/>
      </w:pPr>
      <w:r>
        <w:t>1.3.3 Selección de servicios cloud (AWS, Azure, GCP) considerando almacenamiento, redes de comunicación y escalabilidad</w:t>
      </w:r>
    </w:p>
    <w:p>
      <w:r>
        <w:t xml:space="preserve">La solución se despliega sobre Amazon Web Services (AWS) bajo un patrón puramente </w:t>
      </w:r>
      <w:r>
        <w:rPr>
          <w:i/>
        </w:rPr>
        <w:t>serverless</w:t>
      </w:r>
      <w:r>
        <w:t xml:space="preserve"> y desacoplado, con $50 USD/mes frente al límite de $200 USD/mes:</w:t>
      </w:r>
    </w:p>
    <w:p>
      <w:pPr>
        <w:pStyle w:val="ListBullet"/>
        <w:ind w:left="340"/>
        <w:jc w:val="left"/>
      </w:pPr>
      <w:r>
        <w:rPr>
          <w:b/>
        </w:rPr>
        <w:t>Almacenamiento:</w:t>
      </w:r>
      <w:r>
        <w:t xml:space="preserve"> Amazon RDS (MySQL) para las transacciones de interacciones y catálogo, más Amazon S3 para 2 GB de datos históricos y versionar artefactos del modelo.</w:t>
      </w:r>
    </w:p>
    <w:p>
      <w:pPr>
        <w:pStyle w:val="ListBullet"/>
        <w:ind w:left="340"/>
        <w:jc w:val="left"/>
      </w:pPr>
      <w:r>
        <w:rPr>
          <w:b/>
        </w:rPr>
        <w:t>Redes y Comunicación:</w:t>
      </w:r>
      <w:r>
        <w:t xml:space="preserve"> Amazon API Gateway centraliza el enrutamiento HTTP, el cifrado HTTPS, el </w:t>
      </w:r>
      <w:r>
        <w:rPr>
          <w:i/>
        </w:rPr>
        <w:t>rate limiting</w:t>
      </w:r>
      <w:r>
        <w:t xml:space="preserve"> (100 req/min) y la autenticación con API Keys en AWS Systems Manager Parameter Store; Amazon EventBridge orquesta los eventos temporales.</w:t>
      </w:r>
    </w:p>
    <w:p>
      <w:pPr>
        <w:pStyle w:val="ListBullet"/>
        <w:ind w:left="340"/>
        <w:jc w:val="left"/>
      </w:pPr>
      <w:r>
        <w:rPr>
          <w:b/>
        </w:rPr>
        <w:t>Cómputo y Escalabilidad:</w:t>
      </w:r>
      <w:r>
        <w:t xml:space="preserve"> cómputo elástico horizontal con AWS Lambda (0 a 1.000 instancias, latencia warm de 300 ms) y cómputo efímero vertical con Amazon SageMaker (ml.t3.medium que entrena 150K registros en 15 minutos y se apaga).</w:t>
      </w:r>
    </w:p>
    <w:p>
      <w:pPr>
        <w:pStyle w:val="ListBullet"/>
        <w:ind w:left="340"/>
        <w:jc w:val="left"/>
      </w:pPr>
      <w:r>
        <w:rPr>
          <w:b/>
        </w:rPr>
        <w:t>Observabilidad:</w:t>
      </w:r>
      <w:r>
        <w:t xml:space="preserve"> Amazon CloudWatch gobierna la salud de red y cómputo con logs estructurados, dashboards y alertas.</w:t>
      </w:r>
    </w:p>
    <w:p>
      <w:pPr>
        <w:pStyle w:val="Heading2"/>
      </w:pPr>
      <w:r>
        <w:t>1.3.4 Dimensionamiento inicial de recursos con estimación de costos</w:t>
      </w:r>
    </w:p>
    <w:p>
      <w:r>
        <w:t xml:space="preserve">El proyecto tiene un tope de inversión de </w:t>
      </w:r>
      <w:r>
        <w:rPr>
          <w:b/>
        </w:rPr>
        <w:t>200$ USD por mes;</w:t>
      </w:r>
      <w:r>
        <w:t xml:space="preserve"> su desglose es el siguiente: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2537"/>
          </w:tcPr>
          <w:p>
            <w:pPr>
              <w:jc w:val="left"/>
            </w:pPr>
            <w:r>
              <w:rPr>
                <w:b/>
                <w:sz w:val="18"/>
              </w:rPr>
              <w:t>Componente / Servicio</w:t>
            </w:r>
          </w:p>
        </w:tc>
        <w:tc>
          <w:tcPr>
            <w:tcW w:type="dxa" w:w="2537"/>
          </w:tcPr>
          <w:p>
            <w:pPr>
              <w:jc w:val="left"/>
            </w:pPr>
            <w:r>
              <w:rPr>
                <w:b/>
                <w:sz w:val="18"/>
              </w:rPr>
              <w:t>Dimensionamiento de recursos</w:t>
            </w:r>
          </w:p>
        </w:tc>
        <w:tc>
          <w:tcPr>
            <w:tcW w:type="dxa" w:w="2537"/>
          </w:tcPr>
          <w:p>
            <w:pPr>
              <w:jc w:val="left"/>
            </w:pPr>
            <w:r>
              <w:rPr>
                <w:b/>
                <w:sz w:val="18"/>
              </w:rPr>
              <w:t>Frecuencia / Volumen de uso</w:t>
            </w:r>
          </w:p>
        </w:tc>
        <w:tc>
          <w:tcPr>
            <w:tcW w:type="dxa" w:w="2537"/>
          </w:tcPr>
          <w:p>
            <w:pPr>
              <w:jc w:val="left"/>
            </w:pPr>
            <w:r>
              <w:rPr>
                <w:b/>
                <w:sz w:val="18"/>
              </w:rPr>
              <w:t>Costo estimado mensual</w:t>
            </w:r>
          </w:p>
        </w:tc>
      </w:tr>
      <w:tr>
        <w:tc>
          <w:tcPr>
            <w:tcW w:type="dxa" w:w="2537"/>
          </w:tcPr>
          <w:p>
            <w:pPr>
              <w:jc w:val="left"/>
            </w:pPr>
            <w:r>
              <w:rPr>
                <w:b/>
                <w:sz w:val="18"/>
              </w:rPr>
              <w:t>Entrenamiento (Amazon SageMaker)</w:t>
            </w:r>
          </w:p>
        </w:tc>
        <w:tc>
          <w:tcPr>
            <w:tcW w:type="dxa" w:w="2537"/>
          </w:tcPr>
          <w:p>
            <w:pPr>
              <w:jc w:val="left"/>
            </w:pPr>
            <w:r>
              <w:rPr>
                <w:sz w:val="18"/>
              </w:rPr>
              <w:t>Instancia ml.t3.medium (2 vCPU, 4 GB RAM)</w:t>
            </w:r>
          </w:p>
        </w:tc>
        <w:tc>
          <w:tcPr>
            <w:tcW w:type="dxa" w:w="2537"/>
          </w:tcPr>
          <w:p>
            <w:pPr>
              <w:jc w:val="left"/>
            </w:pPr>
            <w:r>
              <w:rPr>
                <w:sz w:val="18"/>
              </w:rPr>
              <w:t>Semanal (domingos 2 AM), 15 minutos de ejecución por corrida</w:t>
            </w:r>
          </w:p>
        </w:tc>
        <w:tc>
          <w:tcPr>
            <w:tcW w:type="dxa" w:w="2537"/>
          </w:tcPr>
          <w:p>
            <w:pPr>
              <w:jc w:val="left"/>
            </w:pPr>
            <w:r>
              <w:rPr>
                <w:b/>
                <w:sz w:val="18"/>
              </w:rPr>
              <w:t>$0.20 USD/mes</w:t>
            </w:r>
          </w:p>
        </w:tc>
      </w:tr>
      <w:tr>
        <w:tc>
          <w:tcPr>
            <w:tcW w:type="dxa" w:w="2537"/>
          </w:tcPr>
          <w:p>
            <w:pPr>
              <w:jc w:val="left"/>
            </w:pPr>
            <w:r>
              <w:rPr>
                <w:b/>
                <w:sz w:val="18"/>
              </w:rPr>
              <w:t>Inferencia (AWS Lambda)</w:t>
            </w:r>
          </w:p>
        </w:tc>
        <w:tc>
          <w:tcPr>
            <w:tcW w:type="dxa" w:w="2537"/>
          </w:tcPr>
          <w:p>
            <w:pPr>
              <w:jc w:val="left"/>
            </w:pPr>
            <w:r>
              <w:rPr>
                <w:sz w:val="18"/>
              </w:rPr>
              <w:t>Función serverless con 1 GB de memoria RAM</w:t>
            </w:r>
          </w:p>
        </w:tc>
        <w:tc>
          <w:tcPr>
            <w:tcW w:type="dxa" w:w="2537"/>
          </w:tcPr>
          <w:p>
            <w:pPr>
              <w:jc w:val="left"/>
            </w:pPr>
            <w:r>
              <w:rPr>
                <w:sz w:val="18"/>
              </w:rPr>
              <w:t>~60.000 invocaciones al mes bajo demanda</w:t>
            </w:r>
          </w:p>
        </w:tc>
        <w:tc>
          <w:tcPr>
            <w:tcW w:type="dxa" w:w="2537"/>
          </w:tcPr>
          <w:p>
            <w:pPr>
              <w:jc w:val="left"/>
            </w:pPr>
            <w:r>
              <w:rPr>
                <w:b/>
                <w:sz w:val="18"/>
              </w:rPr>
              <w:t>$28.00 USD/mes</w:t>
            </w:r>
          </w:p>
        </w:tc>
      </w:tr>
      <w:tr>
        <w:tc>
          <w:tcPr>
            <w:tcW w:type="dxa" w:w="2537"/>
          </w:tcPr>
          <w:p>
            <w:pPr>
              <w:jc w:val="left"/>
            </w:pPr>
            <w:r>
              <w:rPr>
                <w:b/>
                <w:sz w:val="18"/>
              </w:rPr>
              <w:t>Almacenamiento en la nube (Amazon S3)</w:t>
            </w:r>
          </w:p>
        </w:tc>
        <w:tc>
          <w:tcPr>
            <w:tcW w:type="dxa" w:w="2537"/>
          </w:tcPr>
          <w:p>
            <w:pPr>
              <w:jc w:val="left"/>
            </w:pPr>
            <w:r>
              <w:rPr>
                <w:sz w:val="18"/>
              </w:rPr>
              <w:t>2 GB de datos históricos y artefactos de modelos serializados</w:t>
            </w:r>
          </w:p>
        </w:tc>
        <w:tc>
          <w:tcPr>
            <w:tcW w:type="dxa" w:w="2537"/>
          </w:tcPr>
          <w:p>
            <w:pPr>
              <w:jc w:val="left"/>
            </w:pPr>
            <w:r>
              <w:rPr>
                <w:sz w:val="18"/>
              </w:rPr>
              <w:t>Almacenamiento continuo persistente</w:t>
            </w:r>
          </w:p>
        </w:tc>
        <w:tc>
          <w:tcPr>
            <w:tcW w:type="dxa" w:w="2537"/>
          </w:tcPr>
          <w:p>
            <w:pPr>
              <w:jc w:val="left"/>
            </w:pPr>
            <w:r>
              <w:rPr>
                <w:b/>
                <w:sz w:val="18"/>
              </w:rPr>
              <w:t>$0.05 USD/mes</w:t>
            </w:r>
          </w:p>
        </w:tc>
      </w:tr>
      <w:tr>
        <w:tc>
          <w:tcPr>
            <w:tcW w:type="dxa" w:w="2537"/>
          </w:tcPr>
          <w:p>
            <w:pPr>
              <w:jc w:val="left"/>
            </w:pPr>
            <w:r>
              <w:rPr>
                <w:b/>
                <w:sz w:val="18"/>
              </w:rPr>
              <w:t>Base de datos relacional (Amazon RDS)</w:t>
            </w:r>
          </w:p>
        </w:tc>
        <w:tc>
          <w:tcPr>
            <w:tcW w:type="dxa" w:w="2537"/>
          </w:tcPr>
          <w:p>
            <w:pPr>
              <w:jc w:val="left"/>
            </w:pPr>
            <w:r>
              <w:rPr>
                <w:sz w:val="18"/>
              </w:rPr>
              <w:t>db.t3.micro con MySQL y 20 GB de almacenamiento</w:t>
            </w:r>
          </w:p>
        </w:tc>
        <w:tc>
          <w:tcPr>
            <w:tcW w:type="dxa" w:w="2537"/>
          </w:tcPr>
          <w:p>
            <w:pPr>
              <w:jc w:val="left"/>
            </w:pPr>
            <w:r>
              <w:rPr>
                <w:sz w:val="18"/>
              </w:rPr>
              <w:t>24/7 para operaciones transaccionales</w:t>
            </w:r>
          </w:p>
        </w:tc>
        <w:tc>
          <w:tcPr>
            <w:tcW w:type="dxa" w:w="2537"/>
          </w:tcPr>
          <w:p>
            <w:pPr>
              <w:jc w:val="left"/>
            </w:pPr>
            <w:r>
              <w:rPr>
                <w:b/>
                <w:sz w:val="18"/>
              </w:rPr>
              <w:t>$16.00 USD/mes</w:t>
            </w:r>
          </w:p>
        </w:tc>
      </w:tr>
      <w:tr>
        <w:tc>
          <w:tcPr>
            <w:tcW w:type="dxa" w:w="2537"/>
          </w:tcPr>
          <w:p>
            <w:pPr>
              <w:jc w:val="left"/>
            </w:pPr>
            <w:r>
              <w:rPr>
                <w:b/>
                <w:sz w:val="18"/>
              </w:rPr>
              <w:t>Costo total de la solución</w:t>
            </w:r>
          </w:p>
        </w:tc>
        <w:tc>
          <w:tcPr>
            <w:tcW w:type="dxa" w:w="2537"/>
          </w:tcPr>
          <w:p>
            <w:pPr>
              <w:jc w:val="left"/>
            </w:pPr>
            <w:r>
              <w:rPr>
                <w:b/>
                <w:sz w:val="18"/>
              </w:rPr>
              <w:t>Infraestructura serverless + RDS</w:t>
            </w:r>
          </w:p>
        </w:tc>
        <w:tc>
          <w:tcPr>
            <w:tcW w:type="dxa" w:w="2537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2537"/>
          </w:tcPr>
          <w:p>
            <w:pPr>
              <w:jc w:val="left"/>
            </w:pPr>
            <w:r>
              <w:rPr>
                <w:b/>
                <w:sz w:val="18"/>
              </w:rPr>
              <w:t>~$50.00 USD/mes</w:t>
            </w:r>
            <w:r>
              <w:rPr>
                <w:sz w:val="18"/>
              </w:rPr>
              <w:t xml:space="preserve"> (aprox. $44.25 – $50 USD)</w:t>
            </w:r>
          </w:p>
        </w:tc>
      </w:tr>
    </w:tbl>
    <w:p>
      <w:r>
        <w:rPr>
          <w:b/>
        </w:rPr>
        <w:t>Costo de arquitectura tradicional (alternativa descartada):</w:t>
      </w:r>
      <w:r>
        <w:t xml:space="preserve"> instancias tipo Amazon EC2 24/7 costarían </w:t>
      </w:r>
      <w:r>
        <w:rPr>
          <w:b/>
        </w:rPr>
        <w:t>$180 USD/mes</w:t>
      </w:r>
      <w:r>
        <w:t>, cifra cara para el presupuesto, mientras que la solución serverless (Lambda + SageMaker) factura solo los milisegundos de cómputo de las invocaciones y los 15 minutos de entrenamiento semanal.</w:t>
      </w:r>
    </w:p>
    <w:p>
      <w:pPr>
        <w:pStyle w:val="Heading1"/>
      </w:pPr>
      <w:r>
        <w:t>1.4 Estrategias de integración y despliegue</w:t>
      </w:r>
    </w:p>
    <w:p>
      <w:r>
        <w:t xml:space="preserve">Se seleccionó </w:t>
      </w:r>
      <w:r>
        <w:rPr>
          <w:b/>
        </w:rPr>
        <w:t>CI/CD (Continuous Integration / Continuous Deployment)</w:t>
      </w:r>
      <w:r>
        <w:t xml:space="preserve"> como estrategia de integración y entrega: </w:t>
      </w:r>
      <w:r>
        <w:rPr>
          <w:b/>
        </w:rPr>
        <w:t>GitHub Actions</w:t>
      </w:r>
      <w:r>
        <w:t xml:space="preserve"> filtra la calidad antes de producción, controlando fallos, y </w:t>
      </w:r>
      <w:r>
        <w:rPr>
          <w:b/>
        </w:rPr>
        <w:t>AWS SAM</w:t>
      </w:r>
      <w:r>
        <w:t xml:space="preserve"> complementa ese control en el despliegue.</w:t>
      </w:r>
    </w:p>
    <w:p>
      <w:r>
        <w:t xml:space="preserve">Como despliegue de modelos en producción se eligió </w:t>
      </w:r>
      <w:r>
        <w:rPr>
          <w:b/>
        </w:rPr>
        <w:t>Canary Deployment</w:t>
      </w:r>
      <w:r>
        <w:t>, que minimiza el riesgo al progresar el despliegue a medida que las métricas son positivas.</w:t>
      </w:r>
    </w:p>
    <w:p>
      <w:pPr>
        <w:pStyle w:val="Heading2"/>
      </w:pPr>
      <w:r>
        <w:t>1.4.1 Uso de edge computing</w:t>
      </w:r>
    </w:p>
    <w:p>
      <w:r>
        <w:t xml:space="preserve">Dentro de las estrategias de despliegue se evaluó el </w:t>
      </w:r>
      <w:r>
        <w:rPr>
          <w:i/>
        </w:rPr>
        <w:t>edge computing</w:t>
      </w:r>
      <w:r>
        <w:t xml:space="preserve">: ejecutar lógica y almacenar contenido cerca del usuario. Para ShopFast se recomienda una </w:t>
      </w:r>
      <w:r>
        <w:rPr>
          <w:b/>
        </w:rPr>
        <w:t>adopción parcial</w:t>
      </w:r>
      <w:r>
        <w:t xml:space="preserve"> coherente con su patrón </w:t>
      </w:r>
      <w:r>
        <w:rPr>
          <w:i/>
        </w:rPr>
        <w:t>serverless</w:t>
      </w:r>
      <w:r>
        <w:t xml:space="preserve">: servir el frontend React con </w:t>
      </w:r>
      <w:r>
        <w:rPr>
          <w:b/>
        </w:rPr>
        <w:t>Amazon CloudFront</w:t>
      </w:r>
      <w:r>
        <w:t xml:space="preserve"> y usar </w:t>
      </w:r>
      <w:r>
        <w:rPr>
          <w:b/>
        </w:rPr>
        <w:t>Lambda@Edge</w:t>
      </w:r>
      <w:r>
        <w:t xml:space="preserve"> para cachear el </w:t>
      </w:r>
      <w:r>
        <w:rPr>
          <w:i/>
        </w:rPr>
        <w:t>fallback</w:t>
      </w:r>
      <w:r>
        <w:t xml:space="preserve"> de más vendidos (R.F 8), cumpliendo menos de 500 ms aunque el motor falle (R.N.F 12) y sin duplicar infraestructura (~$50 de un tope de $200/mes). Se descarta la inferencia SVD en </w:t>
      </w:r>
      <w:r>
        <w:rPr>
          <w:i/>
        </w:rPr>
        <w:t>edge</w:t>
      </w:r>
      <w:r>
        <w:t xml:space="preserve">: el modelo se reentrena de forma centralizada y semanal (SageMaker) con estado en RDS y S3, y serializarlo en nodos distribuidos encarecería el sistema sin superar la latencia </w:t>
      </w:r>
      <w:r>
        <w:rPr>
          <w:i/>
        </w:rPr>
        <w:t>warm</w:t>
      </w:r>
      <w:r>
        <w:t xml:space="preserve"> de 300 ms. El cómputo </w:t>
      </w:r>
      <w:r>
        <w:rPr>
          <w:i/>
        </w:rPr>
        <w:t>edge</w:t>
      </w:r>
      <w:r>
        <w:t xml:space="preserve"> queda limitado a entrega y caché, no a inferencia.</w:t>
      </w:r>
    </w:p>
    <w:p>
      <w:pPr>
        <w:pStyle w:val="Heading2"/>
      </w:pPr>
      <w:r>
        <w:t>1.4.2 Comparación de alternativas de integración evaluando eficiencia, rendimiento y confiabilidad</w:t>
      </w:r>
    </w:p>
    <w:p>
      <w:r>
        <w:t xml:space="preserve">Se evaluaron además las estrategias </w:t>
      </w:r>
      <w:r>
        <w:rPr>
          <w:b/>
        </w:rPr>
        <w:t>Blue/Green Deployment, Rolling (Progresivo), Big Bang, Despliegue por fases y Despliegue Shadow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c>
          <w:tcPr>
            <w:tcW w:type="dxa" w:w="2030"/>
          </w:tcPr>
          <w:p>
            <w:pPr>
              <w:jc w:val="left"/>
            </w:pPr>
            <w:r>
              <w:rPr>
                <w:b/>
                <w:sz w:val="18"/>
              </w:rPr>
              <w:t>Estrategia</w:t>
            </w:r>
          </w:p>
        </w:tc>
        <w:tc>
          <w:tcPr>
            <w:tcW w:type="dxa" w:w="2030"/>
          </w:tcPr>
          <w:p>
            <w:pPr>
              <w:jc w:val="left"/>
            </w:pPr>
            <w:r>
              <w:rPr>
                <w:b/>
                <w:sz w:val="18"/>
              </w:rPr>
              <w:t>Eficiencia</w:t>
            </w:r>
          </w:p>
        </w:tc>
        <w:tc>
          <w:tcPr>
            <w:tcW w:type="dxa" w:w="2030"/>
          </w:tcPr>
          <w:p>
            <w:pPr>
              <w:jc w:val="left"/>
            </w:pPr>
            <w:r>
              <w:rPr>
                <w:b/>
                <w:sz w:val="18"/>
              </w:rPr>
              <w:t>Rendimiento</w:t>
            </w:r>
          </w:p>
        </w:tc>
        <w:tc>
          <w:tcPr>
            <w:tcW w:type="dxa" w:w="2030"/>
          </w:tcPr>
          <w:p>
            <w:pPr>
              <w:jc w:val="left"/>
            </w:pPr>
            <w:r>
              <w:rPr>
                <w:b/>
                <w:sz w:val="18"/>
              </w:rPr>
              <w:t>Confiabilidad</w:t>
            </w:r>
          </w:p>
        </w:tc>
        <w:tc>
          <w:tcPr>
            <w:tcW w:type="dxa" w:w="2030"/>
          </w:tcPr>
          <w:p>
            <w:pPr>
              <w:jc w:val="left"/>
            </w:pPr>
            <w:r>
              <w:rPr>
                <w:b/>
                <w:sz w:val="18"/>
              </w:rPr>
              <w:t>Decisión en este caso</w:t>
            </w:r>
          </w:p>
        </w:tc>
      </w:tr>
      <w:tr>
        <w:tc>
          <w:tcPr>
            <w:tcW w:type="dxa" w:w="2030"/>
          </w:tcPr>
          <w:p>
            <w:pPr>
              <w:jc w:val="left"/>
            </w:pPr>
            <w:r>
              <w:rPr>
                <w:sz w:val="18"/>
              </w:rPr>
              <w:t>Blue/Green</w:t>
            </w:r>
          </w:p>
        </w:tc>
        <w:tc>
          <w:tcPr>
            <w:tcW w:type="dxa" w:w="2030"/>
          </w:tcPr>
          <w:p>
            <w:pPr>
              <w:jc w:val="left"/>
            </w:pPr>
            <w:r>
              <w:rPr>
                <w:sz w:val="18"/>
              </w:rPr>
              <w:t>Baja: duplica entornos y costos</w:t>
            </w:r>
          </w:p>
        </w:tc>
        <w:tc>
          <w:tcPr>
            <w:tcW w:type="dxa" w:w="2030"/>
          </w:tcPr>
          <w:p>
            <w:pPr>
              <w:jc w:val="left"/>
            </w:pPr>
            <w:r>
              <w:rPr>
                <w:sz w:val="18"/>
              </w:rPr>
              <w:t>Alto: conmutación instantánea de tráfico</w:t>
            </w:r>
          </w:p>
        </w:tc>
        <w:tc>
          <w:tcPr>
            <w:tcW w:type="dxa" w:w="2030"/>
          </w:tcPr>
          <w:p>
            <w:pPr>
              <w:jc w:val="left"/>
            </w:pPr>
            <w:r>
              <w:rPr>
                <w:sz w:val="18"/>
              </w:rPr>
              <w:t>Alta: reversión inmediata</w:t>
            </w:r>
          </w:p>
        </w:tc>
        <w:tc>
          <w:tcPr>
            <w:tcW w:type="dxa" w:w="2030"/>
          </w:tcPr>
          <w:p>
            <w:pPr>
              <w:jc w:val="left"/>
            </w:pPr>
            <w:r>
              <w:rPr>
                <w:sz w:val="18"/>
              </w:rPr>
              <w:t>Descartada: duplicaría el presupuesto de $200/mes</w:t>
            </w:r>
          </w:p>
        </w:tc>
      </w:tr>
      <w:tr>
        <w:tc>
          <w:tcPr>
            <w:tcW w:type="dxa" w:w="2030"/>
          </w:tcPr>
          <w:p>
            <w:pPr>
              <w:jc w:val="left"/>
            </w:pPr>
            <w:r>
              <w:rPr>
                <w:sz w:val="18"/>
              </w:rPr>
              <w:t>Rolling (Progresivo)</w:t>
            </w:r>
          </w:p>
        </w:tc>
        <w:tc>
          <w:tcPr>
            <w:tcW w:type="dxa" w:w="2030"/>
          </w:tcPr>
          <w:p>
            <w:pPr>
              <w:jc w:val="left"/>
            </w:pPr>
            <w:r>
              <w:rPr>
                <w:sz w:val="18"/>
              </w:rPr>
              <w:t>Alta: reutiliza una sola infraestructura</w:t>
            </w:r>
          </w:p>
        </w:tc>
        <w:tc>
          <w:tcPr>
            <w:tcW w:type="dxa" w:w="2030"/>
          </w:tcPr>
          <w:p>
            <w:pPr>
              <w:jc w:val="left"/>
            </w:pPr>
            <w:r>
              <w:rPr>
                <w:sz w:val="18"/>
              </w:rPr>
              <w:t>Medio: depende de compatibilidad entre versiones</w:t>
            </w:r>
          </w:p>
        </w:tc>
        <w:tc>
          <w:tcPr>
            <w:tcW w:type="dxa" w:w="2030"/>
          </w:tcPr>
          <w:p>
            <w:pPr>
              <w:jc w:val="left"/>
            </w:pPr>
            <w:r>
              <w:rPr>
                <w:sz w:val="18"/>
              </w:rPr>
              <w:t>Media: reversión más lenta</w:t>
            </w:r>
          </w:p>
        </w:tc>
        <w:tc>
          <w:tcPr>
            <w:tcW w:type="dxa" w:w="2030"/>
          </w:tcPr>
          <w:p>
            <w:pPr>
              <w:jc w:val="left"/>
            </w:pPr>
            <w:r>
              <w:rPr>
                <w:sz w:val="18"/>
              </w:rPr>
              <w:t>Descartada: poca visión del rendimiento del modelo en producción</w:t>
            </w:r>
          </w:p>
        </w:tc>
      </w:tr>
      <w:tr>
        <w:tc>
          <w:tcPr>
            <w:tcW w:type="dxa" w:w="2030"/>
          </w:tcPr>
          <w:p>
            <w:pPr>
              <w:jc w:val="left"/>
            </w:pPr>
            <w:r>
              <w:rPr>
                <w:sz w:val="18"/>
              </w:rPr>
              <w:t>Big Bang</w:t>
            </w:r>
          </w:p>
        </w:tc>
        <w:tc>
          <w:tcPr>
            <w:tcW w:type="dxa" w:w="2030"/>
          </w:tcPr>
          <w:p>
            <w:pPr>
              <w:jc w:val="left"/>
            </w:pPr>
            <w:r>
              <w:rPr>
                <w:sz w:val="18"/>
              </w:rPr>
              <w:t>Alta: un solo evento de despliegue</w:t>
            </w:r>
          </w:p>
        </w:tc>
        <w:tc>
          <w:tcPr>
            <w:tcW w:type="dxa" w:w="2030"/>
          </w:tcPr>
          <w:p>
            <w:pPr>
              <w:jc w:val="left"/>
            </w:pPr>
            <w:r>
              <w:rPr>
                <w:sz w:val="18"/>
              </w:rPr>
              <w:t>Riesgoso: pico único sin validación previa</w:t>
            </w:r>
          </w:p>
        </w:tc>
        <w:tc>
          <w:tcPr>
            <w:tcW w:type="dxa" w:w="2030"/>
          </w:tcPr>
          <w:p>
            <w:pPr>
              <w:jc w:val="left"/>
            </w:pPr>
            <w:r>
              <w:rPr>
                <w:sz w:val="18"/>
              </w:rPr>
              <w:t>Baja: sin reversión gradual</w:t>
            </w:r>
          </w:p>
        </w:tc>
        <w:tc>
          <w:tcPr>
            <w:tcW w:type="dxa" w:w="2030"/>
          </w:tcPr>
          <w:p>
            <w:pPr>
              <w:jc w:val="left"/>
            </w:pPr>
            <w:r>
              <w:rPr>
                <w:sz w:val="18"/>
              </w:rPr>
              <w:t>Descartada: máxima exposición de los 50.000 clientes a fallos</w:t>
            </w:r>
          </w:p>
        </w:tc>
      </w:tr>
      <w:tr>
        <w:tc>
          <w:tcPr>
            <w:tcW w:type="dxa" w:w="2030"/>
          </w:tcPr>
          <w:p>
            <w:pPr>
              <w:jc w:val="left"/>
            </w:pPr>
            <w:r>
              <w:rPr>
                <w:sz w:val="18"/>
              </w:rPr>
              <w:t>Por fases</w:t>
            </w:r>
          </w:p>
        </w:tc>
        <w:tc>
          <w:tcPr>
            <w:tcW w:type="dxa" w:w="2030"/>
          </w:tcPr>
          <w:p>
            <w:pPr>
              <w:jc w:val="left"/>
            </w:pPr>
            <w:r>
              <w:rPr>
                <w:sz w:val="18"/>
              </w:rPr>
              <w:t>Media: exige segmentar por grupos o regiones</w:t>
            </w:r>
          </w:p>
        </w:tc>
        <w:tc>
          <w:tcPr>
            <w:tcW w:type="dxa" w:w="2030"/>
          </w:tcPr>
          <w:p>
            <w:pPr>
              <w:jc w:val="left"/>
            </w:pPr>
            <w:r>
              <w:rPr>
                <w:sz w:val="18"/>
              </w:rPr>
              <w:t>Alto dentro de cada segmento</w:t>
            </w:r>
          </w:p>
        </w:tc>
        <w:tc>
          <w:tcPr>
            <w:tcW w:type="dxa" w:w="2030"/>
          </w:tcPr>
          <w:p>
            <w:pPr>
              <w:jc w:val="left"/>
            </w:pPr>
            <w:r>
              <w:rPr>
                <w:sz w:val="18"/>
              </w:rPr>
              <w:t>Media-alta: daño acotado por segmento</w:t>
            </w:r>
          </w:p>
        </w:tc>
        <w:tc>
          <w:tcPr>
            <w:tcW w:type="dxa" w:w="2030"/>
          </w:tcPr>
          <w:p>
            <w:pPr>
              <w:jc w:val="left"/>
            </w:pPr>
            <w:r>
              <w:rPr>
                <w:sz w:val="18"/>
              </w:rPr>
              <w:t>Descartada: mayor costo de soporte e inversión por regiones</w:t>
            </w:r>
          </w:p>
        </w:tc>
      </w:tr>
      <w:tr>
        <w:tc>
          <w:tcPr>
            <w:tcW w:type="dxa" w:w="2030"/>
          </w:tcPr>
          <w:p>
            <w:pPr>
              <w:jc w:val="left"/>
            </w:pPr>
            <w:r>
              <w:rPr>
                <w:sz w:val="18"/>
              </w:rPr>
              <w:t>Shadow</w:t>
            </w:r>
          </w:p>
        </w:tc>
        <w:tc>
          <w:tcPr>
            <w:tcW w:type="dxa" w:w="2030"/>
          </w:tcPr>
          <w:p>
            <w:pPr>
              <w:jc w:val="left"/>
            </w:pPr>
            <w:r>
              <w:rPr>
                <w:sz w:val="18"/>
              </w:rPr>
              <w:t>Media: duplica tráfico sin impacto en usuario</w:t>
            </w:r>
          </w:p>
        </w:tc>
        <w:tc>
          <w:tcPr>
            <w:tcW w:type="dxa" w:w="2030"/>
          </w:tcPr>
          <w:p>
            <w:pPr>
              <w:jc w:val="left"/>
            </w:pPr>
            <w:r>
              <w:rPr>
                <w:sz w:val="18"/>
              </w:rPr>
              <w:t>Alto para comparar versiones en paralelo</w:t>
            </w:r>
          </w:p>
        </w:tc>
        <w:tc>
          <w:tcPr>
            <w:tcW w:type="dxa" w:w="2030"/>
          </w:tcPr>
          <w:p>
            <w:pPr>
              <w:jc w:val="left"/>
            </w:pPr>
            <w:r>
              <w:rPr>
                <w:sz w:val="18"/>
              </w:rPr>
              <w:t>Alta para validación, nula para el usuario</w:t>
            </w:r>
          </w:p>
        </w:tc>
        <w:tc>
          <w:tcPr>
            <w:tcW w:type="dxa" w:w="2030"/>
          </w:tcPr>
          <w:p>
            <w:pPr>
              <w:jc w:val="left"/>
            </w:pPr>
            <w:r>
              <w:rPr>
                <w:sz w:val="18"/>
              </w:rPr>
              <w:t>Descartada: el usuario nunca ve el modelo, no mide la conversión</w:t>
            </w:r>
          </w:p>
        </w:tc>
      </w:tr>
      <w:tr>
        <w:tc>
          <w:tcPr>
            <w:tcW w:type="dxa" w:w="2030"/>
          </w:tcPr>
          <w:p>
            <w:pPr>
              <w:jc w:val="left"/>
            </w:pPr>
            <w:r>
              <w:rPr>
                <w:b/>
                <w:sz w:val="18"/>
              </w:rPr>
              <w:t>Canary (elegida)</w:t>
            </w:r>
          </w:p>
        </w:tc>
        <w:tc>
          <w:tcPr>
            <w:tcW w:type="dxa" w:w="2030"/>
          </w:tcPr>
          <w:p>
            <w:pPr>
              <w:jc w:val="left"/>
            </w:pPr>
            <w:r>
              <w:rPr>
                <w:b/>
                <w:sz w:val="18"/>
              </w:rPr>
              <w:t>Alta: un solo entorno, despliegue gradual de 10% por minuto</w:t>
            </w:r>
          </w:p>
        </w:tc>
        <w:tc>
          <w:tcPr>
            <w:tcW w:type="dxa" w:w="2030"/>
          </w:tcPr>
          <w:p>
            <w:pPr>
              <w:jc w:val="left"/>
            </w:pPr>
            <w:r>
              <w:rPr>
                <w:b/>
                <w:sz w:val="18"/>
              </w:rPr>
              <w:t>Se valida con tráfico real desde el primer minuto</w:t>
            </w:r>
          </w:p>
        </w:tc>
        <w:tc>
          <w:tcPr>
            <w:tcW w:type="dxa" w:w="2030"/>
          </w:tcPr>
          <w:p>
            <w:pPr>
              <w:jc w:val="left"/>
            </w:pPr>
            <w:r>
              <w:rPr>
                <w:b/>
                <w:sz w:val="18"/>
              </w:rPr>
              <w:t>Alta: rollback automático si el error rate supera el 3%</w:t>
            </w:r>
          </w:p>
        </w:tc>
        <w:tc>
          <w:tcPr>
            <w:tcW w:type="dxa" w:w="2030"/>
          </w:tcPr>
          <w:p>
            <w:pPr>
              <w:jc w:val="left"/>
            </w:pPr>
            <w:r>
              <w:rPr>
                <w:b/>
                <w:sz w:val="18"/>
              </w:rPr>
              <w:t>Elegida: progresión hasta el 100% con reversión automática</w:t>
            </w:r>
          </w:p>
        </w:tc>
      </w:tr>
    </w:tbl>
    <w:p>
      <w:r>
        <w:t xml:space="preserve">Se elige Canary por ser la más </w:t>
      </w:r>
      <w:r>
        <w:rPr>
          <w:b/>
        </w:rPr>
        <w:t>eficiente</w:t>
      </w:r>
      <w:r>
        <w:t xml:space="preserve"> (un solo entorno </w:t>
      </w:r>
      <w:r>
        <w:rPr>
          <w:i/>
        </w:rPr>
        <w:t>serverless</w:t>
      </w:r>
      <w:r>
        <w:t xml:space="preserve">, sin duplicar costos), la de mejor </w:t>
      </w:r>
      <w:r>
        <w:rPr>
          <w:b/>
        </w:rPr>
        <w:t>rendimiento</w:t>
      </w:r>
      <w:r>
        <w:t xml:space="preserve"> (modelo SVD medido con tráfico real desde el 10%) y la más </w:t>
      </w:r>
      <w:r>
        <w:rPr>
          <w:b/>
        </w:rPr>
        <w:t>confiable</w:t>
      </w:r>
      <w:r>
        <w:t xml:space="preserve"> (CloudWatch con rollback ante errores &gt;3%). Las alternativas son:</w:t>
      </w:r>
    </w:p>
    <w:p>
      <w:pPr>
        <w:pStyle w:val="Heading3"/>
      </w:pPr>
      <w:r>
        <w:t>Blue/Green Deployment</w:t>
      </w:r>
    </w:p>
    <w:p>
      <w:r>
        <w:t xml:space="preserve">Mantiene dos entornos de producción idénticos: uno activo con el 100% del tráfico ( </w:t>
      </w:r>
      <w:r>
        <w:rPr>
          <w:b/>
        </w:rPr>
        <w:t>Blue</w:t>
      </w:r>
      <w:r>
        <w:t xml:space="preserve"> ) y otro inactivo con la nueva versión ( </w:t>
      </w:r>
      <w:r>
        <w:rPr>
          <w:b/>
        </w:rPr>
        <w:t>Green</w:t>
      </w:r>
      <w:r>
        <w:t xml:space="preserve"> ); validado Green, el enrutador cambia todo el tráfico de golpe. Ofrece reversiones inmediatas y cero inactividad, pero el </w:t>
      </w:r>
      <w:r>
        <w:rPr>
          <w:b/>
        </w:rPr>
        <w:t>principal problema es el costo</w:t>
      </w:r>
      <w:r>
        <w:t>: duplica entornos y presupuesto, lo que la hace financieramente inviable.</w:t>
      </w:r>
    </w:p>
    <w:p>
      <w:pPr>
        <w:pStyle w:val="Heading3"/>
      </w:pPr>
      <w:r>
        <w:t>Rolling (Progresivo)</w:t>
      </w:r>
    </w:p>
    <w:p>
      <w:r>
        <w:t>Despliegue gradual que sustituye versiones instancia por instancia, de forma escalonada. Aunque es eficaz para microservicios, exige alta compatibilidad entre códigos y bases de datos; en funciones complejas, como integrar pipelines y modelos de aprendizaje continuo, cuesta tiempo y dinero, porque no permite ver gradualmente el rendimiento del modelo en producción.</w:t>
      </w:r>
    </w:p>
    <w:p>
      <w:pPr>
        <w:pStyle w:val="Heading3"/>
      </w:pPr>
      <w:r>
        <w:t>Big Bang</w:t>
      </w:r>
    </w:p>
    <w:p>
      <w:r>
        <w:t>Apaga el sistema antiguo y activa el nuevo de golpe para el 100% de los usuarios, en un solo evento. Es el más riesgoso y no permite calificar gradualmente el rendimiento del modelo.</w:t>
      </w:r>
    </w:p>
    <w:p>
      <w:pPr>
        <w:pStyle w:val="Heading3"/>
      </w:pPr>
      <w:r>
        <w:t>Despliegue por fases</w:t>
      </w:r>
    </w:p>
    <w:p>
      <w:r>
        <w:t>Se segmenta por grupos de usuarios, regiones geográficas, áreas de la empresa o módulos. En un comercio electrónico es clave que la mayor cantidad de usuarios compre y reciba recomendaciones; además, desplegar por regiones implica mayor inversión, especialmente en soporte.</w:t>
      </w:r>
    </w:p>
    <w:p>
      <w:pPr>
        <w:pStyle w:val="Heading3"/>
      </w:pPr>
      <w:r>
        <w:t>Despliegue Shadow</w:t>
      </w:r>
    </w:p>
    <w:p>
      <w:r>
        <w:t xml:space="preserve">Duplica el tráfico de la versión activa y envía una copia a una versión oculta ( </w:t>
      </w:r>
      <w:r>
        <w:rPr>
          <w:i/>
        </w:rPr>
        <w:t>shadow</w:t>
      </w:r>
      <w:r>
        <w:t xml:space="preserve"> ) que procesa en segundo plano; sus respuestas se registran para análisis, pero no llegan al usuario. El proyecto busca llevar la conversión al 4% y el ticket a $120 USD, lo que obliga a que los usuarios reales vean las recomendaciones y decidan si hacen clic, algo que esta estrategia no ofrece.</w:t>
      </w:r>
    </w:p>
    <w:p>
      <w:pPr>
        <w:pStyle w:val="Heading2"/>
      </w:pPr>
      <w:r>
        <w:t>1.4.3 Pipeline de integración continua y despliegue continuo (CI/CD)</w:t>
      </w:r>
    </w:p>
    <w:p>
      <w:r>
        <w:t>ShopFast implementa un flujo de CI/CD automatizado para minimizar errores en producción, asegurar calidad y mitigar riesgos mediante liberaciones progresivas.</w:t>
      </w:r>
    </w:p>
    <w:p>
      <w:pPr>
        <w:pStyle w:val="Heading3"/>
      </w:pPr>
      <w:r>
        <w:t>Herramientas involucradas y su función</w:t>
      </w:r>
    </w:p>
    <w:p>
      <w:pPr>
        <w:pStyle w:val="ListBullet"/>
        <w:ind w:left="340"/>
        <w:jc w:val="left"/>
      </w:pPr>
      <w:r>
        <w:rPr>
          <w:b/>
        </w:rPr>
        <w:t>GitHub Actions:</w:t>
      </w:r>
      <w:r>
        <w:t xml:space="preserve"> orquestación central; escucha los eventos de código ( </w:t>
      </w:r>
      <w:r>
        <w:rPr>
          <w:i/>
        </w:rPr>
        <w:t>push</w:t>
      </w:r>
      <w:r>
        <w:t xml:space="preserve"> a main) y ejecuta los flujos ( </w:t>
      </w:r>
      <w:r>
        <w:rPr>
          <w:i/>
        </w:rPr>
        <w:t>workflows</w:t>
      </w:r>
      <w:r>
        <w:t xml:space="preserve"> ) de compilación, análisis y despliegue.</w:t>
      </w:r>
    </w:p>
    <w:p>
      <w:pPr>
        <w:pStyle w:val="ListBullet"/>
        <w:ind w:left="340"/>
        <w:jc w:val="left"/>
      </w:pPr>
      <w:r>
        <w:rPr>
          <w:b/>
        </w:rPr>
        <w:t>pytest:</w:t>
      </w:r>
      <w:r>
        <w:t xml:space="preserve"> pruebas automatizadas en Python; corre unitarias y de integración en la construcción y en </w:t>
      </w:r>
      <w:r>
        <w:rPr>
          <w:i/>
        </w:rPr>
        <w:t>staging</w:t>
      </w:r>
      <w:r>
        <w:t>.</w:t>
      </w:r>
    </w:p>
    <w:p>
      <w:pPr>
        <w:pStyle w:val="ListBullet"/>
        <w:ind w:left="340"/>
        <w:jc w:val="left"/>
      </w:pPr>
      <w:r>
        <w:rPr>
          <w:b/>
        </w:rPr>
        <w:t>AWS SAM (Serverless Application Model):</w:t>
      </w:r>
      <w:r>
        <w:t xml:space="preserve"> IaC serverless; empaqueta la función AWS Lambda, define los contratos de Amazon API Gateway y pondera el tráfico en los despliegues.</w:t>
      </w:r>
    </w:p>
    <w:p>
      <w:pPr>
        <w:pStyle w:val="ListBullet"/>
        <w:ind w:left="340"/>
        <w:jc w:val="left"/>
      </w:pPr>
      <w:r>
        <w:rPr>
          <w:b/>
        </w:rPr>
        <w:t>Amazon CloudWatch:</w:t>
      </w:r>
      <w:r>
        <w:t xml:space="preserve"> monitoreo en tiempo real; supervisa el error en la fase canary para activar la reversión automática.</w:t>
      </w:r>
    </w:p>
    <w:p>
      <w:pPr>
        <w:pStyle w:val="Heading3"/>
      </w:pPr>
      <w:r>
        <w:t>Flujo del pipeline paso a paso</w:t>
      </w:r>
    </w:p>
    <w:p>
      <w:r>
        <w:t>El proceso se ejecuta en 5 etapas secuenciales:</w:t>
      </w:r>
    </w:p>
    <w:p>
      <w:pPr>
        <w:ind w:left="340"/>
        <w:jc w:val="left"/>
      </w:pPr>
      <w:r>
        <w:t xml:space="preserve">1. </w:t>
      </w:r>
      <w:r>
        <w:rPr>
          <w:b/>
        </w:rPr>
        <w:t>Push a rama main y construcción (Build):</w:t>
      </w:r>
    </w:p>
    <w:p>
      <w:pPr>
        <w:pStyle w:val="ListBullet"/>
        <w:ind w:left="737"/>
        <w:jc w:val="left"/>
      </w:pPr>
      <w:r>
        <w:t>El desarrollador sube los cambios aprobados al repositorio.</w:t>
      </w:r>
    </w:p>
    <w:p>
      <w:pPr>
        <w:pStyle w:val="ListBullet"/>
        <w:ind w:left="737"/>
        <w:jc w:val="left"/>
      </w:pPr>
      <w:r>
        <w:t xml:space="preserve">Se ejecutan pruebas unitarias (pytest), análisis estático ( </w:t>
      </w:r>
      <w:r>
        <w:rPr>
          <w:i/>
        </w:rPr>
        <w:t>linting</w:t>
      </w:r>
      <w:r>
        <w:t xml:space="preserve"> ) y escaneos de seguridad.</w:t>
      </w:r>
    </w:p>
    <w:p>
      <w:pPr>
        <w:ind w:left="340"/>
        <w:jc w:val="left"/>
      </w:pPr>
      <w:r>
        <w:t xml:space="preserve">2. </w:t>
      </w:r>
      <w:r>
        <w:rPr>
          <w:b/>
        </w:rPr>
        <w:t>Despliegue a staging y pruebas de integración:</w:t>
      </w:r>
    </w:p>
    <w:p>
      <w:pPr>
        <w:pStyle w:val="ListBullet"/>
        <w:ind w:left="737"/>
        <w:jc w:val="left"/>
      </w:pPr>
      <w:r>
        <w:t xml:space="preserve">Si es exitoso, AWS SAM despliega los artefactos en un entorno </w:t>
      </w:r>
      <w:r>
        <w:rPr>
          <w:i/>
        </w:rPr>
        <w:t>staging</w:t>
      </w:r>
      <w:r>
        <w:t xml:space="preserve"> idéntico a producción.</w:t>
      </w:r>
    </w:p>
    <w:p>
      <w:pPr>
        <w:pStyle w:val="ListBullet"/>
        <w:ind w:left="737"/>
        <w:jc w:val="left"/>
      </w:pPr>
      <w:r>
        <w:t>5 pruebas de integración automáticas certifican la comunicación entre endpoints y bases de datos.</w:t>
      </w:r>
    </w:p>
    <w:p>
      <w:pPr>
        <w:ind w:left="340"/>
        <w:jc w:val="left"/>
      </w:pPr>
      <w:r>
        <w:t xml:space="preserve">3. </w:t>
      </w:r>
      <w:r>
        <w:rPr>
          <w:b/>
        </w:rPr>
        <w:t xml:space="preserve">Aprobación manual ( </w:t>
      </w:r>
      <w:r>
        <w:rPr>
          <w:b/>
          <w:i/>
        </w:rPr>
        <w:t>gate</w:t>
      </w:r>
      <w:r>
        <w:rPr>
          <w:b/>
        </w:rPr>
        <w:t xml:space="preserve"> de control):</w:t>
      </w:r>
    </w:p>
    <w:p>
      <w:pPr>
        <w:pStyle w:val="ListBullet"/>
        <w:ind w:left="737"/>
        <w:jc w:val="left"/>
      </w:pPr>
      <w:r>
        <w:t xml:space="preserve">Un responsable técnico valida </w:t>
      </w:r>
      <w:r>
        <w:rPr>
          <w:i/>
        </w:rPr>
        <w:t>staging</w:t>
      </w:r>
      <w:r>
        <w:t xml:space="preserve"> y aprueba el paso a producción.</w:t>
      </w:r>
    </w:p>
    <w:p>
      <w:pPr>
        <w:ind w:left="340"/>
        <w:jc w:val="left"/>
      </w:pPr>
      <w:r>
        <w:t xml:space="preserve">4. </w:t>
      </w:r>
      <w:r>
        <w:rPr>
          <w:b/>
        </w:rPr>
        <w:t>Despliegue progresivo en producción (Canary):</w:t>
      </w:r>
    </w:p>
    <w:p>
      <w:pPr>
        <w:pStyle w:val="ListBullet"/>
        <w:ind w:left="737"/>
        <w:jc w:val="left"/>
      </w:pPr>
      <w:r>
        <w:t>AWS SAM enruta inicialmente solo el 10% del tráfico real a la nueva versión.</w:t>
      </w:r>
    </w:p>
    <w:p>
      <w:pPr>
        <w:pStyle w:val="ListBullet"/>
        <w:ind w:left="737"/>
        <w:jc w:val="left"/>
      </w:pPr>
      <w:r>
        <w:t>Aumenta un 10% por minuto hasta el 100%, si las condiciones son estables.</w:t>
      </w:r>
    </w:p>
    <w:p>
      <w:pPr>
        <w:ind w:left="340"/>
        <w:jc w:val="left"/>
      </w:pPr>
      <w:r>
        <w:t xml:space="preserve">5. </w:t>
      </w:r>
      <w:r>
        <w:rPr>
          <w:b/>
        </w:rPr>
        <w:t xml:space="preserve">Monitoreo y reversión automática ( </w:t>
      </w:r>
      <w:r>
        <w:rPr>
          <w:b/>
          <w:i/>
        </w:rPr>
        <w:t>rollback</w:t>
      </w:r>
      <w:r>
        <w:rPr>
          <w:b/>
        </w:rPr>
        <w:t xml:space="preserve"> ):</w:t>
      </w:r>
    </w:p>
    <w:p>
      <w:pPr>
        <w:pStyle w:val="ListBullet"/>
        <w:ind w:left="737"/>
        <w:jc w:val="left"/>
      </w:pPr>
      <w:r>
        <w:t>Se evalúan en CloudWatch las métricas durante el despliegue canary.</w:t>
      </w:r>
    </w:p>
    <w:p>
      <w:pPr>
        <w:pStyle w:val="ListBullet"/>
        <w:ind w:left="737"/>
        <w:jc w:val="left"/>
      </w:pPr>
      <w:r>
        <w:t>Si el error rate supera el 3%, el pipeline interrumpe y ejecuta un rollback instantáneo hacia la versión previa estable.</w:t>
      </w:r>
    </w:p>
    <w:p>
      <w:pPr>
        <w:pStyle w:val="Heading2"/>
      </w:pPr>
      <w:r>
        <w:t>1.4.4 Diagrama de flujo de despliegue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71022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 parcial 1.draw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102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Diagrama elaborado en Draw.io (fuente editable: DiagramaShopPipeline</w:t>
      </w:r>
      <w:r>
        <w:t>v2.drawio)._</w:t>
      </w:r>
    </w:p>
    <w:p>
      <w:pPr>
        <w:pStyle w:val="Heading1"/>
      </w:pPr>
      <w:r>
        <w:t>Referencias</w:t>
      </w:r>
    </w:p>
    <w:p>
      <w:r>
        <w:t xml:space="preserve">Amazon Web Services. (2025, 19 de noviembre). </w:t>
      </w:r>
      <w:r>
        <w:rPr>
          <w:i/>
        </w:rPr>
        <w:t>Machine Learning Lens — AWS Well-Architected Framework</w:t>
      </w:r>
      <w:r>
        <w:t>. Recuperado el 22 de septiembre de 2026, de https://docs.aws.amazon.com/wellarchitected/latest/machine-learning-lens/machine-learning-lens.html</w:t>
      </w:r>
    </w:p>
    <w:p>
      <w:r>
        <w:t xml:space="preserve">Kreuzberger, D., Kühl, N., &amp; Hirschl, S. (2023). Machine Learning Operations (MLOps): Overview, Definition, and Architecture. </w:t>
      </w:r>
      <w:r>
        <w:rPr>
          <w:i/>
        </w:rPr>
        <w:t>IEEE Access</w:t>
      </w:r>
      <w:r>
        <w:t xml:space="preserve">, </w:t>
      </w:r>
      <w:r>
        <w:rPr>
          <w:i/>
        </w:rPr>
        <w:t>11</w:t>
      </w:r>
      <w:r>
        <w:t>, 31866–31879. https://doi.org/10.1109/ACCESS.2023.3262138</w:t>
      </w:r>
    </w:p>
    <w:p>
      <w:r>
        <w:t xml:space="preserve">Testi, M., Ballabio, M., Frontoni, E., Iannello, G., Moccia, S., Soda, P., &amp; Vessio, G. (2022). MLOps: A taxonomy and a methodology. </w:t>
      </w:r>
      <w:r>
        <w:rPr>
          <w:i/>
        </w:rPr>
        <w:t>IEEE Access</w:t>
      </w:r>
      <w:r>
        <w:t xml:space="preserve">, </w:t>
      </w:r>
      <w:r>
        <w:rPr>
          <w:i/>
        </w:rPr>
        <w:t>10</w:t>
      </w:r>
      <w:r>
        <w:t>, 63606–63618. https://doi.org/10.1109/ACCESS.2022.3181730</w:t>
      </w:r>
    </w:p>
    <w:p>
      <w:r>
        <w:t xml:space="preserve">The Codest. (s. f.). </w:t>
      </w:r>
      <w:r>
        <w:rPr>
          <w:i/>
        </w:rPr>
        <w:t>Deployment strategies</w:t>
      </w:r>
      <w:r>
        <w:t>. Recuperado el 22 de septiembre de 2026, de https://thecodest.co/en/dictionary/deployment-strategies/</w:t>
      </w:r>
    </w:p>
    <w:p>
      <w:pPr>
        <w:pStyle w:val="Heading1"/>
      </w:pPr>
      <w:r>
        <w:t>Declaración de uso de herramientas de IA generativa</w:t>
      </w:r>
    </w:p>
    <w:p>
      <w:r>
        <w:t>Durante el desarrollo de este trabajo se utilizaron herramientas de inteligencia artificial generativa como apoyo al proceso de investigación, redacción y revisión. El uso de estas herramientas se resume a continuación, indicando la herramienta empleada y el propósito específico en cada caso: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</w:tcPr>
          <w:p>
            <w:pPr>
              <w:jc w:val="left"/>
            </w:pPr>
            <w:r>
              <w:rPr>
                <w:b/>
                <w:sz w:val="18"/>
              </w:rPr>
              <w:t>Herramienta</w:t>
            </w:r>
          </w:p>
        </w:tc>
        <w:tc>
          <w:tcPr>
            <w:tcW w:type="dxa" w:w="5074"/>
          </w:tcPr>
          <w:p>
            <w:pPr>
              <w:jc w:val="left"/>
            </w:pPr>
            <w:r>
              <w:rPr>
                <w:b/>
                <w:sz w:val="18"/>
              </w:rPr>
              <w:t>Propósito de uso</w:t>
            </w:r>
          </w:p>
        </w:tc>
      </w:tr>
      <w:tr>
        <w:tc>
          <w:tcPr>
            <w:tcW w:type="dxa" w:w="5074"/>
          </w:tcPr>
          <w:p>
            <w:pPr>
              <w:jc w:val="left"/>
            </w:pPr>
            <w:r>
              <w:rPr>
                <w:sz w:val="18"/>
              </w:rPr>
              <w:t>OpenCode Zen</w:t>
            </w:r>
          </w:p>
        </w:tc>
        <w:tc>
          <w:tcPr>
            <w:tcW w:type="dxa" w:w="5074"/>
          </w:tcPr>
          <w:p>
            <w:pPr>
              <w:jc w:val="left"/>
            </w:pPr>
            <w:r>
              <w:rPr>
                <w:sz w:val="18"/>
              </w:rPr>
              <w:t>Redacción inicial, reestructuración y revisión de coherencia y estilo de las secciones del informe.</w:t>
            </w:r>
          </w:p>
        </w:tc>
      </w:tr>
      <w:tr>
        <w:tc>
          <w:tcPr>
            <w:tcW w:type="dxa" w:w="5074"/>
          </w:tcPr>
          <w:p>
            <w:pPr>
              <w:jc w:val="left"/>
            </w:pPr>
            <w:r>
              <w:rPr>
                <w:sz w:val="18"/>
              </w:rPr>
              <w:t>OpenCode Zen</w:t>
            </w:r>
          </w:p>
        </w:tc>
        <w:tc>
          <w:tcPr>
            <w:tcW w:type="dxa" w:w="5074"/>
          </w:tcPr>
          <w:p>
            <w:pPr>
              <w:jc w:val="left"/>
            </w:pPr>
            <w:r>
              <w:rPr>
                <w:sz w:val="18"/>
              </w:rPr>
              <w:t>Generación de borradores de código (plantillas AWS SAM, flujos de GitHub Actions) y bocetos de diagramas de arquitectura, posteriormente editados por el equipo.</w:t>
            </w:r>
          </w:p>
        </w:tc>
      </w:tr>
      <w:tr>
        <w:tc>
          <w:tcPr>
            <w:tcW w:type="dxa" w:w="5074"/>
          </w:tcPr>
          <w:p>
            <w:pPr>
              <w:jc w:val="left"/>
            </w:pPr>
            <w:r>
              <w:rPr>
                <w:sz w:val="18"/>
              </w:rPr>
              <w:t>Documentación técnica oficial (AWS, GitHub) y verificación manual</w:t>
            </w:r>
          </w:p>
        </w:tc>
        <w:tc>
          <w:tcPr>
            <w:tcW w:type="dxa" w:w="5074"/>
          </w:tcPr>
          <w:p>
            <w:pPr>
              <w:jc w:val="left"/>
            </w:pPr>
            <w:r>
              <w:rPr>
                <w:sz w:val="18"/>
              </w:rPr>
              <w:t>Todo el contenido técnico —arquitectura, servicios, estrategia de despliegue canary y referencias— fue contrastado y verificado por el equipo contra la documentación oficial antes de su inclusión; la responsabilidad del contenido final es del equipo.</w:t>
            </w:r>
          </w:p>
        </w:tc>
      </w:tr>
    </w:tbl>
    <w:sectPr w:rsidR="00FC693F" w:rsidRPr="0006063C" w:rsidSect="00034616">
      <w:pgSz w:w="11906" w:h="16838"/>
      <w:pgMar w:top="624" w:right="879" w:bottom="624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5" w:lineRule="auto" w:after="60"/>
      <w:jc w:val="both"/>
    </w:pPr>
    <w:rPr>
      <w:rFonts w:ascii="Georgia" w:hAnsi="Georg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Georgia" w:hAnsi="Georgia"/>
      <w:b/>
      <w:bCs/>
      <w:color w:val="11111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Georgia" w:hAnsi="Georgia"/>
      <w:b/>
      <w:bCs/>
      <w:color w:val="11111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Georgia" w:hAnsi="Georgia"/>
      <w:b/>
      <w:bCs/>
      <w:color w:val="11111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160"/>
      <w:contextualSpacing/>
    </w:pPr>
    <w:rPr>
      <w:rFonts w:asciiTheme="majorHAnsi" w:eastAsiaTheme="majorEastAsia" w:hAnsiTheme="majorHAnsi" w:cstheme="majorBidi" w:ascii="Georgia" w:hAnsi="Georgia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