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5F4249DB" w14:textId="4178C6EF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52C4301E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 xml:space="preserve">, </w:t>
      </w:r>
      <w:r w:rsidR="00CE59F6">
        <w:rPr>
          <w:rFonts w:asciiTheme="minorHAnsi" w:hAnsiTheme="minorHAnsi" w:cstheme="minorHAnsi"/>
        </w:rPr>
        <w:t xml:space="preserve">tensor decomposition, tensor regression, </w:t>
      </w:r>
      <w:r w:rsidR="009F68D3">
        <w:rPr>
          <w:rFonts w:asciiTheme="minorHAnsi" w:hAnsiTheme="minorHAnsi" w:cstheme="minorHAnsi"/>
        </w:rPr>
        <w:t xml:space="preserve">surrogate modeling, active learning, sequential design, </w:t>
      </w:r>
      <w:r>
        <w:rPr>
          <w:rFonts w:asciiTheme="minorHAnsi" w:hAnsiTheme="minorHAnsi" w:cstheme="minorHAnsi"/>
        </w:rPr>
        <w:t>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018216B3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</w:t>
      </w:r>
      <w:r w:rsidR="00FB66AF">
        <w:rPr>
          <w:rFonts w:asciiTheme="minorHAnsi" w:hAnsiTheme="minorHAnsi" w:cstheme="minorHAnsi"/>
        </w:rPr>
        <w:t xml:space="preserve"> We use tensor coefficients to allow for them to vary by frequency and shrinkage prior </w:t>
      </w:r>
      <w:r w:rsidR="00FF6B72">
        <w:rPr>
          <w:rFonts w:asciiTheme="minorHAnsi" w:hAnsiTheme="minorHAnsi" w:cstheme="minorHAnsi"/>
        </w:rPr>
        <w:t>for</w:t>
      </w:r>
      <w:r w:rsidR="00BF12F0">
        <w:rPr>
          <w:rFonts w:asciiTheme="minorHAnsi" w:hAnsiTheme="minorHAnsi" w:cstheme="minorHAnsi"/>
        </w:rPr>
        <w:t xml:space="preserve"> </w:t>
      </w:r>
      <w:r w:rsidR="00FB66AF">
        <w:rPr>
          <w:rFonts w:asciiTheme="minorHAnsi" w:hAnsiTheme="minorHAnsi" w:cstheme="minorHAnsi"/>
        </w:rPr>
        <w:t>variable selection.</w:t>
      </w:r>
      <w:r w:rsidR="008B61E0">
        <w:rPr>
          <w:rFonts w:asciiTheme="minorHAnsi" w:hAnsiTheme="minorHAnsi" w:cstheme="minorHAnsi"/>
        </w:rPr>
        <w:t xml:space="preserve"> </w:t>
      </w:r>
      <w:r w:rsidR="00BF12F0">
        <w:rPr>
          <w:rFonts w:asciiTheme="minorHAnsi" w:hAnsiTheme="minorHAnsi" w:cstheme="minorHAnsi"/>
        </w:rPr>
        <w:t xml:space="preserve">We intend to </w:t>
      </w:r>
      <w:r w:rsidR="00B711EC">
        <w:rPr>
          <w:rFonts w:asciiTheme="minorHAnsi" w:hAnsiTheme="minorHAnsi" w:cstheme="minorHAnsi"/>
        </w:rPr>
        <w:t>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1E7CCA7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</w:t>
      </w:r>
      <w:r w:rsidR="0091600F">
        <w:rPr>
          <w:rFonts w:asciiTheme="minorHAnsi" w:hAnsiTheme="minorHAnsi" w:cstheme="minorHAnsi"/>
        </w:rPr>
        <w:t xml:space="preserve"> SAS,</w:t>
      </w:r>
      <w:r w:rsidR="00DB4F43">
        <w:rPr>
          <w:rFonts w:asciiTheme="minorHAnsi" w:hAnsiTheme="minorHAnsi" w:cstheme="minorHAnsi"/>
        </w:rPr>
        <w:t xml:space="preserve"> </w:t>
      </w:r>
      <w:proofErr w:type="spellStart"/>
      <w:r w:rsidR="00DB4F43">
        <w:rPr>
          <w:rFonts w:asciiTheme="minorHAnsi" w:hAnsiTheme="minorHAnsi" w:cstheme="minorHAnsi"/>
        </w:rPr>
        <w:t>Matlab</w:t>
      </w:r>
      <w:proofErr w:type="spellEnd"/>
      <w:r w:rsidR="00057FE2">
        <w:rPr>
          <w:rFonts w:asciiTheme="minorHAnsi" w:hAnsiTheme="minorHAnsi" w:cstheme="minorHAnsi"/>
        </w:rPr>
        <w:t>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604260" w14:textId="017F2736" w:rsidR="00F7564B" w:rsidRPr="0056326C" w:rsidRDefault="00F7564B" w:rsidP="00F7564B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Environmental Protection Agency, </w:t>
      </w:r>
      <w:r>
        <w:rPr>
          <w:rFonts w:asciiTheme="minorHAnsi" w:hAnsiTheme="minorHAnsi" w:cstheme="minorHAnsi"/>
          <w:bCs/>
        </w:rPr>
        <w:t>Chapel Hill, NC</w:t>
      </w:r>
      <w:r>
        <w:rPr>
          <w:rFonts w:asciiTheme="minorHAnsi" w:hAnsiTheme="minorHAnsi" w:cstheme="minorHAnsi"/>
          <w:bCs/>
        </w:rPr>
        <w:tab/>
        <w:t>August to present</w:t>
      </w:r>
    </w:p>
    <w:p w14:paraId="1BDF35BE" w14:textId="591407F5" w:rsidR="00F7564B" w:rsidRDefault="00F5333E" w:rsidP="00F7564B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F5333E">
        <w:rPr>
          <w:rFonts w:asciiTheme="minorHAnsi" w:hAnsiTheme="minorHAnsi" w:cstheme="minorHAnsi"/>
          <w:b/>
        </w:rPr>
        <w:t>Oak Ridge Institute for Science and Education (ORISE)</w:t>
      </w:r>
      <w:r w:rsidR="00F7564B">
        <w:rPr>
          <w:rFonts w:asciiTheme="minorHAnsi" w:hAnsiTheme="minorHAnsi" w:cstheme="minorHAnsi"/>
          <w:b/>
        </w:rPr>
        <w:t xml:space="preserve"> Fellow </w:t>
      </w:r>
    </w:p>
    <w:p w14:paraId="2AC313D8" w14:textId="362A329D" w:rsidR="00213CDA" w:rsidRPr="00F5333E" w:rsidRDefault="00F5333E" w:rsidP="00F5333E">
      <w:pPr>
        <w:pStyle w:val="ListParagraph"/>
        <w:numPr>
          <w:ilvl w:val="0"/>
          <w:numId w:val="16"/>
        </w:num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Develop statistical models to characterize effects of PFAS on multiple health outcomes</w:t>
      </w:r>
    </w:p>
    <w:p w14:paraId="1FB97702" w14:textId="1B8D203D" w:rsidR="00F5333E" w:rsidRPr="00F5333E" w:rsidRDefault="00F5333E" w:rsidP="00F5333E">
      <w:pPr>
        <w:pStyle w:val="ListParagraph"/>
        <w:numPr>
          <w:ilvl w:val="0"/>
          <w:numId w:val="16"/>
        </w:num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Participate in meetings and collaborate with </w:t>
      </w:r>
      <w:r w:rsidR="00952F02">
        <w:rPr>
          <w:rFonts w:asciiTheme="minorHAnsi" w:hAnsiTheme="minorHAnsi" w:cstheme="minorHAnsi"/>
          <w:bCs/>
        </w:rPr>
        <w:t xml:space="preserve">team members </w:t>
      </w:r>
    </w:p>
    <w:p w14:paraId="6934A9BA" w14:textId="77777777" w:rsidR="00F7564B" w:rsidRDefault="00F7564B" w:rsidP="00F8241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940BEF1" w14:textId="61934115" w:rsidR="00F8241E" w:rsidRPr="0056326C" w:rsidRDefault="00F8241E" w:rsidP="00F8241E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Lawrence Livermore National Laboratory, </w:t>
      </w:r>
      <w:r>
        <w:rPr>
          <w:rFonts w:asciiTheme="minorHAnsi" w:hAnsiTheme="minorHAnsi" w:cstheme="minorHAnsi"/>
          <w:bCs/>
        </w:rPr>
        <w:t>Livermore, CA</w:t>
      </w:r>
      <w:r>
        <w:rPr>
          <w:rFonts w:asciiTheme="minorHAnsi" w:hAnsiTheme="minorHAnsi" w:cstheme="minorHAnsi"/>
          <w:bCs/>
        </w:rPr>
        <w:tab/>
        <w:t>May to August 2024</w:t>
      </w:r>
    </w:p>
    <w:p w14:paraId="1608D028" w14:textId="0A1E2C33" w:rsidR="00DC22C2" w:rsidRDefault="00F8241E" w:rsidP="00F7564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Science Summer Institute Intern </w:t>
      </w:r>
    </w:p>
    <w:p w14:paraId="235B0CEB" w14:textId="77777777" w:rsidR="00BC39E2" w:rsidRDefault="00BC39E2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73FF11A" w14:textId="77777777" w:rsidR="006F4C33" w:rsidRDefault="006F4C33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08A72295" w14:textId="21CF28C0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August 2022 to </w:t>
      </w:r>
      <w:r w:rsidR="00CB04CE">
        <w:rPr>
          <w:rFonts w:asciiTheme="minorHAnsi" w:hAnsiTheme="minorHAnsi" w:cstheme="minorHAnsi"/>
          <w:bCs/>
        </w:rPr>
        <w:t>May 2024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485B0021" w14:textId="5C6040D6" w:rsidR="00520081" w:rsidRDefault="00A626B8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</w:t>
      </w:r>
      <w:r w:rsidR="00520081">
        <w:rPr>
          <w:rFonts w:asciiTheme="minorHAnsi" w:hAnsiTheme="minorHAnsi" w:cstheme="minorHAnsi"/>
          <w:bCs/>
        </w:rPr>
        <w:t>elp</w:t>
      </w:r>
      <w:r w:rsidR="00F8241E">
        <w:rPr>
          <w:rFonts w:asciiTheme="minorHAnsi" w:hAnsiTheme="minorHAnsi" w:cstheme="minorHAnsi"/>
          <w:bCs/>
        </w:rPr>
        <w:t>ed</w:t>
      </w:r>
      <w:r w:rsidR="00520081">
        <w:rPr>
          <w:rFonts w:asciiTheme="minorHAnsi" w:hAnsiTheme="minorHAnsi" w:cstheme="minorHAnsi"/>
          <w:bCs/>
        </w:rPr>
        <w:t xml:space="preserve"> with developing and evaluating analytic methods based on </w:t>
      </w:r>
      <w:r w:rsidR="00F8241E">
        <w:rPr>
          <w:rFonts w:asciiTheme="minorHAnsi" w:hAnsiTheme="minorHAnsi" w:cstheme="minorHAnsi"/>
          <w:bCs/>
        </w:rPr>
        <w:t>WIN</w:t>
      </w:r>
      <w:r w:rsidR="00520081">
        <w:rPr>
          <w:rFonts w:asciiTheme="minorHAnsi" w:hAnsiTheme="minorHAnsi" w:cstheme="minorHAnsi"/>
          <w:bCs/>
        </w:rPr>
        <w:t xml:space="preserve"> statistics</w:t>
      </w:r>
    </w:p>
    <w:p w14:paraId="564C0394" w14:textId="7D3CB862" w:rsidR="00EF5A1D" w:rsidRPr="00520081" w:rsidRDefault="00EF5A1D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</w:t>
      </w:r>
      <w:r w:rsidR="00F8241E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meetings of clinical research</w:t>
      </w:r>
      <w:r w:rsidR="00520081">
        <w:rPr>
          <w:rFonts w:asciiTheme="minorHAnsi" w:hAnsiTheme="minorHAnsi" w:cstheme="minorHAnsi"/>
          <w:bCs/>
        </w:rPr>
        <w:t xml:space="preserve"> and r</w:t>
      </w:r>
      <w:r w:rsidRPr="00520081">
        <w:rPr>
          <w:rFonts w:asciiTheme="minorHAnsi" w:hAnsiTheme="minorHAnsi" w:cstheme="minorHAnsi"/>
          <w:bCs/>
        </w:rPr>
        <w:t>eceived training on ethic</w:t>
      </w:r>
      <w:r w:rsidR="0005361A" w:rsidRPr="00520081">
        <w:rPr>
          <w:rFonts w:asciiTheme="minorHAnsi" w:hAnsiTheme="minorHAnsi" w:cstheme="minorHAnsi"/>
          <w:bCs/>
        </w:rPr>
        <w:t>s of</w:t>
      </w:r>
      <w:r w:rsidRPr="00520081"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B628364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 xml:space="preserve">, July 2023 to </w:t>
      </w:r>
      <w:r w:rsidR="00884A3D">
        <w:rPr>
          <w:rFonts w:asciiTheme="minorHAnsi" w:hAnsiTheme="minorHAnsi" w:cstheme="minorHAnsi"/>
          <w:bCs/>
        </w:rPr>
        <w:t>May 2024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353DA2B2" w:rsidR="0056326C" w:rsidRDefault="00CE6D7D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</w:t>
      </w:r>
      <w:r w:rsidR="0056326C">
        <w:rPr>
          <w:rFonts w:asciiTheme="minorHAnsi" w:hAnsiTheme="minorHAnsi" w:cstheme="minorHAnsi"/>
          <w:bCs/>
        </w:rPr>
        <w:t xml:space="preserve"> statistical</w:t>
      </w:r>
      <w:r w:rsidR="00704464">
        <w:rPr>
          <w:rFonts w:asciiTheme="minorHAnsi" w:hAnsiTheme="minorHAnsi" w:cstheme="minorHAnsi"/>
          <w:bCs/>
        </w:rPr>
        <w:t>/</w:t>
      </w:r>
      <w:r w:rsidR="000F09D9">
        <w:rPr>
          <w:rFonts w:asciiTheme="minorHAnsi" w:hAnsiTheme="minorHAnsi" w:cstheme="minorHAnsi"/>
          <w:bCs/>
        </w:rPr>
        <w:t>machine learning</w:t>
      </w:r>
      <w:r w:rsidR="0056326C">
        <w:rPr>
          <w:rFonts w:asciiTheme="minorHAnsi" w:hAnsiTheme="minorHAnsi" w:cstheme="minorHAnsi"/>
          <w:bCs/>
        </w:rPr>
        <w:t xml:space="preserve"> models to </w:t>
      </w:r>
      <w:r>
        <w:rPr>
          <w:rFonts w:asciiTheme="minorHAnsi" w:hAnsiTheme="minorHAnsi" w:cstheme="minorHAnsi"/>
          <w:bCs/>
        </w:rPr>
        <w:t>analyze data about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3DF9EF02" w:rsidR="0056326C" w:rsidRPr="003639A8" w:rsidRDefault="009F75AD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="009F0F1A"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04894275" w14:textId="77777777" w:rsidR="00FF6B72" w:rsidRDefault="00FF6B72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5275995C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 xml:space="preserve">Adam E. M. </w:t>
      </w:r>
      <w:proofErr w:type="spellStart"/>
      <w:r w:rsidR="000B429A">
        <w:t>Eltorai</w:t>
      </w:r>
      <w:proofErr w:type="spellEnd"/>
      <w:r w:rsidR="000B429A">
        <w:t xml:space="preserve">, Jeffrey A. Bakal, Daniel W. Kim, David E. </w:t>
      </w:r>
      <w:proofErr w:type="spellStart"/>
      <w:r w:rsidR="000B429A">
        <w:t>Wazer</w:t>
      </w:r>
      <w:proofErr w:type="spellEnd"/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BE587C1" w14:textId="77777777" w:rsidR="00646BDB" w:rsidRDefault="00646BDB" w:rsidP="00AD4365"/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</w:t>
      </w:r>
      <w:proofErr w:type="spellStart"/>
      <w:r w:rsidR="004B762E" w:rsidRPr="004B762E">
        <w:rPr>
          <w:rFonts w:asciiTheme="minorHAnsi" w:hAnsiTheme="minorHAnsi" w:cstheme="minorHAnsi"/>
        </w:rPr>
        <w:t>Debinski</w:t>
      </w:r>
      <w:proofErr w:type="spellEnd"/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465A730A" w14:textId="77777777" w:rsidR="003579A7" w:rsidRDefault="003579A7" w:rsidP="00023E0C">
      <w:pPr>
        <w:rPr>
          <w:rFonts w:asciiTheme="minorHAnsi" w:hAnsiTheme="minorHAnsi" w:cstheme="minorHAnsi"/>
        </w:rPr>
      </w:pP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601DA325" w14:textId="77777777" w:rsidR="003579A7" w:rsidRDefault="003579A7" w:rsidP="00511A3F">
      <w:pPr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lastRenderedPageBreak/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E93BD9E" w14:textId="39759E98" w:rsidR="009E5E51" w:rsidRPr="002A1974" w:rsidRDefault="002A1974" w:rsidP="00A90527">
      <w:r>
        <w:rPr>
          <w:b/>
          <w:bCs/>
        </w:rPr>
        <w:t xml:space="preserve">Prim S. </w:t>
      </w:r>
      <w:r>
        <w:t>“</w:t>
      </w:r>
      <w:r w:rsidRPr="002A1974">
        <w:t>Active Learning with Deep Gaussian Processes for Aero Database Construction</w:t>
      </w:r>
      <w:r>
        <w:t xml:space="preserve">.” </w:t>
      </w:r>
      <w:r w:rsidR="0091657A" w:rsidRPr="0091657A">
        <w:t>International Conference on Advances in Interdisciplinary Statistics and Combinatorics</w:t>
      </w:r>
      <w:r w:rsidR="0091657A">
        <w:t>, October 11–13, 2024. [upcoming]</w:t>
      </w:r>
    </w:p>
    <w:p w14:paraId="08A8BFF6" w14:textId="77777777" w:rsidR="009E5E51" w:rsidRDefault="009E5E51" w:rsidP="00A90527"/>
    <w:p w14:paraId="1D497E14" w14:textId="136541A3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Default="00251FA2" w:rsidP="00A90527">
      <w:pPr>
        <w:rPr>
          <w:rFonts w:asciiTheme="minorHAnsi" w:hAnsiTheme="minorHAnsi" w:cstheme="minorHAnsi"/>
        </w:rPr>
      </w:pPr>
    </w:p>
    <w:p w14:paraId="254A196E" w14:textId="622B0A87" w:rsidR="009342B9" w:rsidRPr="009342B9" w:rsidRDefault="009342B9" w:rsidP="009342B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</w:rPr>
        <w:t>Book Reviewer</w:t>
      </w:r>
      <w:r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i/>
          <w:iCs/>
        </w:rPr>
        <w:t xml:space="preserve">Notes </w:t>
      </w:r>
      <w:r>
        <w:rPr>
          <w:rFonts w:asciiTheme="minorHAnsi" w:hAnsiTheme="minorHAnsi" w:cstheme="minorHAnsi"/>
        </w:rPr>
        <w:t>(2018 to 2021)</w:t>
      </w:r>
    </w:p>
    <w:p w14:paraId="4FF66089" w14:textId="6BC9D6F7" w:rsidR="009342B9" w:rsidRPr="009342B9" w:rsidRDefault="009342B9" w:rsidP="009342B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</w:rPr>
        <w:t xml:space="preserve">Reviewer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i/>
          <w:iCs/>
        </w:rPr>
        <w:t>Writing Center Journal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(201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to 20</w:t>
      </w:r>
      <w:r>
        <w:rPr>
          <w:rFonts w:asciiTheme="minorHAnsi" w:hAnsiTheme="minorHAnsi" w:cstheme="minorHAnsi"/>
        </w:rPr>
        <w:t>16</w:t>
      </w:r>
      <w:r>
        <w:rPr>
          <w:rFonts w:asciiTheme="minorHAnsi" w:hAnsiTheme="minorHAnsi" w:cstheme="minorHAnsi"/>
        </w:rPr>
        <w:t>)</w:t>
      </w:r>
    </w:p>
    <w:p w14:paraId="366A4967" w14:textId="53482F52" w:rsidR="009342B9" w:rsidRPr="009342B9" w:rsidRDefault="009342B9" w:rsidP="009342B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</w:rPr>
        <w:t>Grant Reviewer</w:t>
      </w:r>
      <w:r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University of Iowa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2013</w:t>
      </w:r>
      <w:r>
        <w:rPr>
          <w:rFonts w:asciiTheme="minorHAnsi" w:hAnsiTheme="minorHAnsi" w:cstheme="minorHAnsi"/>
        </w:rPr>
        <w:t>)</w:t>
      </w:r>
    </w:p>
    <w:p w14:paraId="7137BD10" w14:textId="77777777" w:rsidR="009342B9" w:rsidRDefault="009342B9" w:rsidP="002B428A">
      <w:pPr>
        <w:pStyle w:val="Heading1"/>
        <w:rPr>
          <w:rFonts w:asciiTheme="minorHAnsi" w:hAnsiTheme="minorHAnsi" w:cstheme="minorHAnsi"/>
        </w:rPr>
      </w:pPr>
    </w:p>
    <w:p w14:paraId="5017D936" w14:textId="4FD31E21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1C48BA51" w14:textId="4D0C2AF3" w:rsidR="00901F2D" w:rsidRPr="003B19FB" w:rsidRDefault="00901F2D" w:rsidP="00901F2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</w:rPr>
        <w:t xml:space="preserve">ORISE Fellowship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24 to present</w:t>
      </w:r>
    </w:p>
    <w:p w14:paraId="2D20659B" w14:textId="5A709179" w:rsidR="00901F2D" w:rsidRDefault="00BF4DAB" w:rsidP="00901F2D">
      <w:pPr>
        <w:rPr>
          <w:bCs/>
        </w:rPr>
      </w:pPr>
      <w:r>
        <w:rPr>
          <w:bCs/>
        </w:rPr>
        <w:t>Environmental Protection Agency</w:t>
      </w:r>
    </w:p>
    <w:p w14:paraId="5215757A" w14:textId="77777777" w:rsidR="00901F2D" w:rsidRDefault="00901F2D" w:rsidP="00474B75">
      <w:pPr>
        <w:tabs>
          <w:tab w:val="right" w:pos="8640"/>
        </w:tabs>
        <w:rPr>
          <w:b/>
        </w:rPr>
      </w:pPr>
    </w:p>
    <w:p w14:paraId="0A421219" w14:textId="27571034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 xml:space="preserve">22 to </w:t>
      </w:r>
      <w:r w:rsidR="00BE179F">
        <w:rPr>
          <w:rFonts w:asciiTheme="minorHAnsi" w:hAnsiTheme="minorHAnsi" w:cstheme="minorHAnsi"/>
        </w:rPr>
        <w:t>2024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3AFE14DF" w14:textId="025D104B" w:rsidR="002B428A" w:rsidRPr="009342B9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lastRenderedPageBreak/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proofErr w:type="spellStart"/>
      <w:r>
        <w:rPr>
          <w:rFonts w:asciiTheme="minorHAnsi" w:hAnsiTheme="minorHAnsi" w:cstheme="minorHAnsi"/>
        </w:rPr>
        <w:t>bjreich</w:t>
      </w:r>
      <w:proofErr w:type="spellEnd"/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4ABA4BE" w14:textId="35631A3B" w:rsidR="002E1CD6" w:rsidRPr="003B19FB" w:rsidRDefault="002E1CD6" w:rsidP="002E1CD6">
      <w:pPr>
        <w:rPr>
          <w:rFonts w:asciiTheme="minorHAnsi" w:hAnsiTheme="minorHAnsi" w:cstheme="minorHAnsi"/>
        </w:rPr>
      </w:pPr>
      <w:bookmarkStart w:id="0" w:name="_Hlk148274271"/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Associate Professor</w:t>
      </w:r>
    </w:p>
    <w:p w14:paraId="37DBE3A4" w14:textId="49018CF2" w:rsidR="002E1CD6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Biological and Agricultural Engineering, North Carolina State University</w:t>
      </w:r>
    </w:p>
    <w:p w14:paraId="73C732DB" w14:textId="3BF122B5" w:rsidR="002E1CD6" w:rsidRPr="003B19FB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666E4A85" w14:textId="07BB31A7" w:rsidR="000F7C47" w:rsidRDefault="002E1CD6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  <w:bookmarkEnd w:id="0"/>
    </w:p>
    <w:p w14:paraId="6752738C" w14:textId="77777777" w:rsidR="009E6A54" w:rsidRPr="003B19FB" w:rsidRDefault="009E6A54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Assist with two graduate courses: Fundamentals of Statistical Inference I and </w:t>
      </w:r>
      <w:r>
        <w:rPr>
          <w:rFonts w:asciiTheme="minorHAnsi" w:hAnsiTheme="minorHAnsi" w:cstheme="minorHAnsi"/>
          <w:bCs/>
        </w:rPr>
        <w:lastRenderedPageBreak/>
        <w:t>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09785" w14:textId="77777777" w:rsidR="004D5C10" w:rsidRDefault="004D5C10" w:rsidP="005A7565">
      <w:r>
        <w:separator/>
      </w:r>
    </w:p>
  </w:endnote>
  <w:endnote w:type="continuationSeparator" w:id="0">
    <w:p w14:paraId="6E11A2AD" w14:textId="77777777" w:rsidR="004D5C10" w:rsidRDefault="004D5C1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CF15" w14:textId="77777777" w:rsidR="004D5C10" w:rsidRDefault="004D5C10" w:rsidP="005A7565">
      <w:r>
        <w:separator/>
      </w:r>
    </w:p>
  </w:footnote>
  <w:footnote w:type="continuationSeparator" w:id="0">
    <w:p w14:paraId="3E5621BE" w14:textId="77777777" w:rsidR="004D5C10" w:rsidRDefault="004D5C1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5EF1"/>
    <w:multiLevelType w:val="hybridMultilevel"/>
    <w:tmpl w:val="0764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2D3B"/>
    <w:multiLevelType w:val="hybridMultilevel"/>
    <w:tmpl w:val="F3FC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2"/>
  </w:num>
  <w:num w:numId="4" w16cid:durableId="275917489">
    <w:abstractNumId w:val="7"/>
  </w:num>
  <w:num w:numId="5" w16cid:durableId="794829326">
    <w:abstractNumId w:val="14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3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10"/>
  </w:num>
  <w:num w:numId="13" w16cid:durableId="1106846212">
    <w:abstractNumId w:val="1"/>
  </w:num>
  <w:num w:numId="14" w16cid:durableId="563026503">
    <w:abstractNumId w:val="11"/>
  </w:num>
  <w:num w:numId="15" w16cid:durableId="47533000">
    <w:abstractNumId w:val="15"/>
  </w:num>
  <w:num w:numId="16" w16cid:durableId="142819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147B"/>
    <w:rsid w:val="00016B12"/>
    <w:rsid w:val="000179BC"/>
    <w:rsid w:val="000208CD"/>
    <w:rsid w:val="00020AA6"/>
    <w:rsid w:val="00023E0C"/>
    <w:rsid w:val="00030629"/>
    <w:rsid w:val="00030C5E"/>
    <w:rsid w:val="00043C0B"/>
    <w:rsid w:val="00051065"/>
    <w:rsid w:val="00052FA9"/>
    <w:rsid w:val="0005361A"/>
    <w:rsid w:val="000552C0"/>
    <w:rsid w:val="00057FE2"/>
    <w:rsid w:val="00062769"/>
    <w:rsid w:val="000643B3"/>
    <w:rsid w:val="00072CC6"/>
    <w:rsid w:val="000732A8"/>
    <w:rsid w:val="000811BB"/>
    <w:rsid w:val="00083293"/>
    <w:rsid w:val="000946B0"/>
    <w:rsid w:val="00094F9A"/>
    <w:rsid w:val="000A6449"/>
    <w:rsid w:val="000B3C7D"/>
    <w:rsid w:val="000B429A"/>
    <w:rsid w:val="000B4391"/>
    <w:rsid w:val="000B57E4"/>
    <w:rsid w:val="000C5F5A"/>
    <w:rsid w:val="000E5E40"/>
    <w:rsid w:val="000E6D36"/>
    <w:rsid w:val="000F09D9"/>
    <w:rsid w:val="000F7C47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13CDA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A1974"/>
    <w:rsid w:val="002B428A"/>
    <w:rsid w:val="002C0D49"/>
    <w:rsid w:val="002D39AB"/>
    <w:rsid w:val="002D498C"/>
    <w:rsid w:val="002D75BD"/>
    <w:rsid w:val="002E09B4"/>
    <w:rsid w:val="002E1CD6"/>
    <w:rsid w:val="0031398D"/>
    <w:rsid w:val="00313A12"/>
    <w:rsid w:val="00317A5A"/>
    <w:rsid w:val="0033557D"/>
    <w:rsid w:val="003363CC"/>
    <w:rsid w:val="00340DA6"/>
    <w:rsid w:val="00353C1E"/>
    <w:rsid w:val="003579A7"/>
    <w:rsid w:val="00362236"/>
    <w:rsid w:val="003639A8"/>
    <w:rsid w:val="00363CFD"/>
    <w:rsid w:val="00365858"/>
    <w:rsid w:val="00366012"/>
    <w:rsid w:val="00374276"/>
    <w:rsid w:val="00381598"/>
    <w:rsid w:val="00384E3D"/>
    <w:rsid w:val="00393676"/>
    <w:rsid w:val="003A0D27"/>
    <w:rsid w:val="003A6261"/>
    <w:rsid w:val="003B19FB"/>
    <w:rsid w:val="003C29CB"/>
    <w:rsid w:val="003D2340"/>
    <w:rsid w:val="003E0912"/>
    <w:rsid w:val="003E4396"/>
    <w:rsid w:val="003E6B7B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D5C10"/>
    <w:rsid w:val="004E3513"/>
    <w:rsid w:val="004E676C"/>
    <w:rsid w:val="004F3330"/>
    <w:rsid w:val="00511A3F"/>
    <w:rsid w:val="00520081"/>
    <w:rsid w:val="00520839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0924"/>
    <w:rsid w:val="005D489D"/>
    <w:rsid w:val="005E23C6"/>
    <w:rsid w:val="005E4630"/>
    <w:rsid w:val="00603FB2"/>
    <w:rsid w:val="00604363"/>
    <w:rsid w:val="006044D2"/>
    <w:rsid w:val="00605767"/>
    <w:rsid w:val="0062028D"/>
    <w:rsid w:val="00623E72"/>
    <w:rsid w:val="00633D4B"/>
    <w:rsid w:val="00635AE1"/>
    <w:rsid w:val="00636BAB"/>
    <w:rsid w:val="00644F9A"/>
    <w:rsid w:val="00646BDB"/>
    <w:rsid w:val="00660DB1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6F4C33"/>
    <w:rsid w:val="00704464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D2418"/>
    <w:rsid w:val="007D7A3A"/>
    <w:rsid w:val="007E15D1"/>
    <w:rsid w:val="007E4598"/>
    <w:rsid w:val="007F7F64"/>
    <w:rsid w:val="00810464"/>
    <w:rsid w:val="00814728"/>
    <w:rsid w:val="00816C55"/>
    <w:rsid w:val="00824DD8"/>
    <w:rsid w:val="00836FC7"/>
    <w:rsid w:val="008524B4"/>
    <w:rsid w:val="008570C1"/>
    <w:rsid w:val="008634C4"/>
    <w:rsid w:val="00870BF7"/>
    <w:rsid w:val="008849EF"/>
    <w:rsid w:val="00884A3D"/>
    <w:rsid w:val="008970AF"/>
    <w:rsid w:val="008A3B0E"/>
    <w:rsid w:val="008A4717"/>
    <w:rsid w:val="008A57C6"/>
    <w:rsid w:val="008A60B6"/>
    <w:rsid w:val="008B0C13"/>
    <w:rsid w:val="008B61E0"/>
    <w:rsid w:val="008C1F50"/>
    <w:rsid w:val="008C5320"/>
    <w:rsid w:val="008D41CD"/>
    <w:rsid w:val="008D77E3"/>
    <w:rsid w:val="008E2E03"/>
    <w:rsid w:val="008E4735"/>
    <w:rsid w:val="008F51BA"/>
    <w:rsid w:val="008F5300"/>
    <w:rsid w:val="009005A1"/>
    <w:rsid w:val="00901F2D"/>
    <w:rsid w:val="00907456"/>
    <w:rsid w:val="009079C5"/>
    <w:rsid w:val="009121DD"/>
    <w:rsid w:val="009144A0"/>
    <w:rsid w:val="0091600F"/>
    <w:rsid w:val="0091657A"/>
    <w:rsid w:val="00922069"/>
    <w:rsid w:val="009342B9"/>
    <w:rsid w:val="00940F57"/>
    <w:rsid w:val="0094201C"/>
    <w:rsid w:val="00952F02"/>
    <w:rsid w:val="00955323"/>
    <w:rsid w:val="0096105F"/>
    <w:rsid w:val="009636A2"/>
    <w:rsid w:val="00970E32"/>
    <w:rsid w:val="00976931"/>
    <w:rsid w:val="0098550F"/>
    <w:rsid w:val="009861A6"/>
    <w:rsid w:val="0099148A"/>
    <w:rsid w:val="00992294"/>
    <w:rsid w:val="009A0494"/>
    <w:rsid w:val="009A2427"/>
    <w:rsid w:val="009A26C4"/>
    <w:rsid w:val="009B278F"/>
    <w:rsid w:val="009B6305"/>
    <w:rsid w:val="009B7CEA"/>
    <w:rsid w:val="009C6AA9"/>
    <w:rsid w:val="009E412F"/>
    <w:rsid w:val="009E5E51"/>
    <w:rsid w:val="009E6A54"/>
    <w:rsid w:val="009F0F1A"/>
    <w:rsid w:val="009F68D3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33680"/>
    <w:rsid w:val="00A40A32"/>
    <w:rsid w:val="00A47B41"/>
    <w:rsid w:val="00A507EB"/>
    <w:rsid w:val="00A56E67"/>
    <w:rsid w:val="00A56F28"/>
    <w:rsid w:val="00A626B8"/>
    <w:rsid w:val="00A6752C"/>
    <w:rsid w:val="00A67EF0"/>
    <w:rsid w:val="00A81682"/>
    <w:rsid w:val="00A8310A"/>
    <w:rsid w:val="00A86591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9E2"/>
    <w:rsid w:val="00BC3BFA"/>
    <w:rsid w:val="00BC7DFE"/>
    <w:rsid w:val="00BD4D17"/>
    <w:rsid w:val="00BE179F"/>
    <w:rsid w:val="00BE7C38"/>
    <w:rsid w:val="00BF12F0"/>
    <w:rsid w:val="00BF2BDF"/>
    <w:rsid w:val="00BF2D65"/>
    <w:rsid w:val="00BF4DAB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1A79"/>
    <w:rsid w:val="00C86C74"/>
    <w:rsid w:val="00C91D8D"/>
    <w:rsid w:val="00CA49ED"/>
    <w:rsid w:val="00CA7174"/>
    <w:rsid w:val="00CB04CE"/>
    <w:rsid w:val="00CB10ED"/>
    <w:rsid w:val="00CC43F4"/>
    <w:rsid w:val="00CC5F0D"/>
    <w:rsid w:val="00CD59E2"/>
    <w:rsid w:val="00CD7D32"/>
    <w:rsid w:val="00CE59F6"/>
    <w:rsid w:val="00CE6D7D"/>
    <w:rsid w:val="00CF182D"/>
    <w:rsid w:val="00CF4DA6"/>
    <w:rsid w:val="00D00C78"/>
    <w:rsid w:val="00D038E8"/>
    <w:rsid w:val="00D314ED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2C2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04F8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333E"/>
    <w:rsid w:val="00F54C46"/>
    <w:rsid w:val="00F61891"/>
    <w:rsid w:val="00F71A97"/>
    <w:rsid w:val="00F7564B"/>
    <w:rsid w:val="00F82257"/>
    <w:rsid w:val="00F8241E"/>
    <w:rsid w:val="00F83197"/>
    <w:rsid w:val="00F9611C"/>
    <w:rsid w:val="00F9715D"/>
    <w:rsid w:val="00FA269B"/>
    <w:rsid w:val="00FA2840"/>
    <w:rsid w:val="00FA606E"/>
    <w:rsid w:val="00FB18E4"/>
    <w:rsid w:val="00FB5E8A"/>
    <w:rsid w:val="00FB66AF"/>
    <w:rsid w:val="00FC3346"/>
    <w:rsid w:val="00FE5369"/>
    <w:rsid w:val="00FF4266"/>
    <w:rsid w:val="00FF6B7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2024-09-06T18:19:00Z</dcterms:created>
  <dcterms:modified xsi:type="dcterms:W3CDTF">2024-09-06T20:14:00Z</dcterms:modified>
</cp:coreProperties>
</file>