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Normal"/>
        <w:spacing w:after="120" w:before="0" w:line="276" w:lineRule="auto"/>
        <w:ind w:left="216"/>
      </w:pPr>
      <w:r>
        <w:rPr>
          <w:rFonts w:ascii="Aptos" w:hAnsi="Aptos"/>
          <w:sz w:val="24"/>
        </w:rPr>
        <w:t xml:space="preserve">Carrier Name: Aetna AFA </w:t>
      </w:r>
    </w:p>
    <w:p>
      <w:pPr>
        <w:pStyle w:val="Normal"/>
        <w:spacing w:after="120" w:before="0" w:line="276" w:lineRule="auto"/>
        <w:ind w:left="216"/>
      </w:pPr>
      <w:r>
        <w:rPr>
          <w:rFonts w:ascii="Aptos" w:hAnsi="Aptos"/>
          <w:sz w:val="24"/>
        </w:rPr>
        <w:t xml:space="preserve">Plan Name: 6500 HSA 100-50 E </w:t>
      </w:r>
    </w:p>
    <w:p>
      <w:pPr>
        <w:pStyle w:val="Normal"/>
        <w:spacing w:after="120" w:before="0"/>
        <w:ind w:left="216"/>
      </w:pPr>
      <w:r>
        <w:rPr>
          <w:rFonts w:ascii="Aptos" w:hAnsi="Aptos"/>
          <w:sz w:val="24"/>
        </w:rPr>
        <w:t xml:space="preserve">In-Network Single Deductible: 6500 </w:t>
      </w:r>
    </w:p>
    <w:p>
      <w:pPr>
        <w:pStyle w:val="Normal"/>
        <w:spacing w:after="120" w:before="0"/>
        <w:ind w:left="216"/>
      </w:pPr>
      <w:r>
        <w:rPr>
          <w:rFonts w:ascii="Aptos" w:hAnsi="Aptos"/>
          <w:sz w:val="24"/>
        </w:rPr>
        <w:t xml:space="preserve">In-Network Family Deductible: 13000 </w:t>
      </w:r>
    </w:p>
    <w:p>
      <w:pPr>
        <w:pStyle w:val="Normal"/>
        <w:spacing w:after="120" w:before="0"/>
        <w:ind w:left="216"/>
      </w:pPr>
      <w:r>
        <w:rPr>
          <w:rFonts w:ascii="Aptos" w:hAnsi="Aptos"/>
          <w:sz w:val="24"/>
        </w:rPr>
        <w:t xml:space="preserve">Out-of-Network Single Deductible: 10000 </w:t>
      </w:r>
    </w:p>
    <w:p>
      <w:pPr>
        <w:pStyle w:val="Normal"/>
        <w:spacing w:after="120" w:before="0"/>
        <w:ind w:left="216"/>
      </w:pPr>
      <w:r>
        <w:rPr>
          <w:rFonts w:ascii="Aptos" w:hAnsi="Aptos"/>
          <w:sz w:val="24"/>
        </w:rPr>
        <w:t xml:space="preserve">Out-of-Network Family Deductible: 30000 </w:t>
      </w:r>
    </w:p>
    <w:p>
      <w:pPr>
        <w:pStyle w:val="Normal"/>
        <w:spacing w:after="120" w:before="0"/>
        <w:ind w:left="216"/>
      </w:pPr>
      <w:r>
        <w:rPr>
          <w:rFonts w:ascii="Aptos" w:hAnsi="Aptos"/>
          <w:sz w:val="24"/>
        </w:rPr>
        <w:t xml:space="preserve">In-Network Single OOP Max: 7500 </w:t>
      </w:r>
    </w:p>
    <w:p>
      <w:pPr>
        <w:pStyle w:val="Normal"/>
        <w:spacing w:after="120" w:before="0"/>
        <w:ind w:left="216"/>
      </w:pPr>
      <w:r>
        <w:rPr>
          <w:rFonts w:ascii="Aptos" w:hAnsi="Aptos"/>
          <w:sz w:val="24"/>
        </w:rPr>
        <w:t xml:space="preserve">In-Network Family OOP Max: 15000 </w:t>
      </w:r>
    </w:p>
    <w:p>
      <w:pPr>
        <w:pStyle w:val="Normal"/>
        <w:spacing w:after="120" w:before="0"/>
        <w:ind w:left="216"/>
      </w:pPr>
      <w:r>
        <w:rPr>
          <w:rFonts w:ascii="Aptos" w:hAnsi="Aptos"/>
          <w:sz w:val="24"/>
        </w:rPr>
        <w:t xml:space="preserve">Out-of-Network Single OOP Max: 20000 </w:t>
      </w:r>
    </w:p>
    <w:p>
      <w:pPr>
        <w:pStyle w:val="Normal"/>
        <w:spacing w:after="120" w:before="0"/>
        <w:ind w:left="216"/>
      </w:pPr>
      <w:r>
        <w:rPr>
          <w:rFonts w:ascii="Aptos" w:hAnsi="Aptos"/>
          <w:sz w:val="24"/>
        </w:rPr>
        <w:t xml:space="preserve">Out-of-Network Family OOP Max: 60000 </w:t>
      </w:r>
    </w:p>
    <w:p>
      <w:pPr>
        <w:pStyle w:val="Normal"/>
        <w:spacing w:after="120" w:before="0"/>
        <w:ind w:left="216"/>
      </w:pPr>
      <w:r>
        <w:rPr>
          <w:rFonts w:ascii="Aptos" w:hAnsi="Aptos"/>
          <w:sz w:val="24"/>
        </w:rPr>
        <w:t xml:space="preserve">In-Network Coinsurance: 0 </w:t>
      </w:r>
    </w:p>
    <w:p>
      <w:pPr>
        <w:pStyle w:val="Normal"/>
        <w:spacing w:after="120" w:before="0"/>
        <w:ind w:left="216"/>
      </w:pPr>
      <w:r>
        <w:rPr>
          <w:rFonts w:ascii="Aptos" w:hAnsi="Aptos"/>
          <w:sz w:val="24"/>
        </w:rPr>
        <w:t xml:space="preserve">Out-of-Network Coinsurance: 50 </w:t>
      </w:r>
    </w:p>
    <w:p>
      <w:pPr>
        <w:pStyle w:val="Normal"/>
        <w:spacing w:after="120" w:before="0"/>
        <w:ind w:left="216"/>
      </w:pPr>
      <w:r>
        <w:rPr>
          <w:rFonts w:ascii="Aptos" w:hAnsi="Aptos"/>
          <w:sz w:val="24"/>
        </w:rPr>
        <w:t xml:space="preserve">In-Network PCP Visit: Covered in full after deductible </w:t>
      </w:r>
    </w:p>
    <w:p>
      <w:pPr>
        <w:pStyle w:val="Normal"/>
        <w:spacing w:after="120" w:before="0"/>
        <w:ind w:left="216"/>
      </w:pPr>
      <w:r>
        <w:rPr>
          <w:rFonts w:ascii="Aptos" w:hAnsi="Aptos"/>
          <w:sz w:val="24"/>
        </w:rPr>
        <w:t xml:space="preserve">Out-of-Network PCP visit: 50% after deductible </w:t>
      </w:r>
    </w:p>
    <w:p>
      <w:pPr>
        <w:pStyle w:val="Normal"/>
        <w:spacing w:after="120" w:before="0"/>
        <w:ind w:left="216"/>
      </w:pPr>
      <w:r>
        <w:rPr>
          <w:rFonts w:ascii="Aptos" w:hAnsi="Aptos"/>
          <w:sz w:val="24"/>
        </w:rPr>
        <w:t xml:space="preserve">In-Network Specialist Visit: Covered in full after deductible </w:t>
      </w:r>
    </w:p>
    <w:p>
      <w:pPr>
        <w:pStyle w:val="Normal"/>
        <w:spacing w:after="120" w:before="0"/>
        <w:ind w:left="216"/>
      </w:pPr>
      <w:r>
        <w:rPr>
          <w:rFonts w:ascii="Aptos" w:hAnsi="Aptos"/>
          <w:sz w:val="24"/>
        </w:rPr>
        <w:t xml:space="preserve">Out-of-Network Specialist visit: 50% after deductible </w:t>
      </w:r>
    </w:p>
    <w:p>
      <w:pPr>
        <w:pStyle w:val="Normal"/>
        <w:spacing w:after="120" w:before="0"/>
        <w:ind w:left="216"/>
      </w:pPr>
      <w:r>
        <w:rPr>
          <w:rFonts w:ascii="Aptos" w:hAnsi="Aptos"/>
          <w:sz w:val="24"/>
        </w:rPr>
        <w:t xml:space="preserve">In-Network Urgent Care Visit: Covered in full after deductible </w:t>
      </w:r>
    </w:p>
    <w:p>
      <w:pPr>
        <w:pStyle w:val="Normal"/>
        <w:spacing w:after="120" w:before="0"/>
        <w:ind w:left="216"/>
      </w:pPr>
      <w:r>
        <w:rPr>
          <w:rFonts w:ascii="Aptos" w:hAnsi="Aptos"/>
          <w:sz w:val="24"/>
        </w:rPr>
        <w:t xml:space="preserve">Out-of-Network Urgent Care Visit: 50% after deductible </w:t>
      </w:r>
    </w:p>
    <w:p>
      <w:pPr>
        <w:pStyle w:val="Normal"/>
        <w:spacing w:after="120" w:before="0"/>
        <w:ind w:left="216"/>
      </w:pPr>
      <w:r>
        <w:rPr>
          <w:rFonts w:ascii="Aptos" w:hAnsi="Aptos"/>
          <w:sz w:val="24"/>
        </w:rPr>
        <w:t xml:space="preserve">In-Network ER Visit: $500 after deductible </w:t>
      </w:r>
    </w:p>
    <w:p>
      <w:pPr>
        <w:pStyle w:val="Normal"/>
        <w:spacing w:after="120" w:before="0"/>
        <w:ind w:left="216"/>
      </w:pPr>
      <w:r>
        <w:rPr>
          <w:rFonts w:ascii="Aptos" w:hAnsi="Aptos"/>
          <w:sz w:val="24"/>
        </w:rPr>
        <w:t xml:space="preserve">Out-of-Network ER visit: $500 after deductible </w:t>
      </w:r>
    </w:p>
    <w:p>
      <w:pPr>
        <w:pStyle w:val="Normal"/>
        <w:spacing w:after="120" w:before="0"/>
        <w:ind w:left="216"/>
      </w:pPr>
      <w:r>
        <w:rPr>
          <w:rFonts w:ascii="Aptos" w:hAnsi="Aptos"/>
          <w:sz w:val="24"/>
        </w:rPr>
        <w:t xml:space="preserve">In-Network Preventive Visit: Covered in full </w:t>
      </w:r>
    </w:p>
    <w:p>
      <w:pPr>
        <w:pStyle w:val="Normal"/>
        <w:spacing w:after="120" w:before="0"/>
        <w:ind w:left="216"/>
      </w:pPr>
      <w:r>
        <w:rPr>
          <w:rFonts w:ascii="Aptos" w:hAnsi="Aptos"/>
          <w:sz w:val="24"/>
        </w:rPr>
        <w:t xml:space="preserve">Out-of-Network Preventive visit: 50% after deductible </w:t>
      </w:r>
    </w:p>
    <w:p>
      <w:pPr>
        <w:pStyle w:val="Normal"/>
        <w:spacing w:after="120" w:before="0"/>
        <w:ind w:left="216"/>
      </w:pPr>
      <w:r>
        <w:rPr>
          <w:rFonts w:ascii="Aptos" w:hAnsi="Aptos"/>
          <w:sz w:val="24"/>
        </w:rPr>
        <w:t xml:space="preserve">In-Network Outpatient Surgery: Covered in full after deductible </w:t>
      </w:r>
    </w:p>
    <w:p>
      <w:pPr>
        <w:pStyle w:val="Normal"/>
        <w:spacing w:after="120" w:before="0"/>
        <w:ind w:left="216"/>
      </w:pPr>
      <w:r>
        <w:rPr>
          <w:rFonts w:ascii="Aptos" w:hAnsi="Aptos"/>
          <w:sz w:val="24"/>
        </w:rPr>
        <w:t xml:space="preserve">Out-of-Network Outpatient Surgery: 50% after deductible </w:t>
      </w:r>
    </w:p>
    <w:p>
      <w:pPr>
        <w:pStyle w:val="Normal"/>
        <w:spacing w:after="120" w:before="0"/>
        <w:ind w:left="216"/>
      </w:pPr>
      <w:r>
        <w:rPr>
          <w:rFonts w:ascii="Aptos" w:hAnsi="Aptos"/>
          <w:sz w:val="24"/>
        </w:rPr>
        <w:t xml:space="preserve">In-Network Inpatient Surgery: Covered in full after deductible </w:t>
      </w:r>
    </w:p>
    <w:p>
      <w:pPr>
        <w:pStyle w:val="Normal"/>
        <w:spacing w:after="120" w:before="0"/>
        <w:ind w:left="216"/>
      </w:pPr>
      <w:r>
        <w:rPr>
          <w:rFonts w:ascii="Aptos" w:hAnsi="Aptos"/>
          <w:sz w:val="24"/>
        </w:rPr>
        <w:t xml:space="preserve">Out-of-Network Inpatient Surgery: 50% after deductible </w:t>
      </w:r>
    </w:p>
    <w:p>
      <w:pPr>
        <w:pStyle w:val="Normal"/>
        <w:spacing w:after="120" w:before="0"/>
        <w:ind w:left="216"/>
      </w:pPr>
      <w:r>
        <w:rPr>
          <w:rFonts w:ascii="Aptos" w:hAnsi="Aptos"/>
          <w:sz w:val="24"/>
        </w:rPr>
        <w:t xml:space="preserve">In-Network Newborn Delivery: Covered in full after deductible </w:t>
      </w:r>
    </w:p>
    <w:p>
      <w:pPr>
        <w:pStyle w:val="Normal"/>
        <w:spacing w:after="120" w:before="0"/>
        <w:ind w:left="216"/>
      </w:pPr>
      <w:r>
        <w:rPr>
          <w:rFonts w:ascii="Aptos" w:hAnsi="Aptos"/>
          <w:sz w:val="24"/>
        </w:rPr>
        <w:t xml:space="preserve">Out-of-Network Newborn Delivery: 50% after deductible </w:t>
      </w:r>
    </w:p>
    <w:p>
      <w:pPr>
        <w:pStyle w:val="Normal"/>
        <w:spacing w:after="120" w:before="0"/>
        <w:ind w:left="216"/>
      </w:pPr>
      <w:r>
        <w:rPr>
          <w:rFonts w:ascii="Aptos" w:hAnsi="Aptos"/>
          <w:sz w:val="24"/>
        </w:rPr>
        <w:t xml:space="preserve">In-Network Major Diagnostics: Covered in full after deductible </w:t>
      </w:r>
    </w:p>
    <w:p>
      <w:pPr>
        <w:pStyle w:val="Normal"/>
        <w:spacing w:after="120" w:before="0"/>
        <w:ind w:left="216"/>
      </w:pPr>
      <w:r>
        <w:rPr>
          <w:rFonts w:ascii="Aptos" w:hAnsi="Aptos"/>
          <w:sz w:val="24"/>
        </w:rPr>
        <w:t xml:space="preserve">Out-of-Network Major Diagnostics: 50% after deductible </w:t>
      </w:r>
    </w:p>
    <w:p>
      <w:pPr>
        <w:pStyle w:val="Normal"/>
        <w:spacing w:after="120" w:before="0"/>
        <w:ind w:left="216"/>
      </w:pPr>
      <w:r>
        <w:rPr>
          <w:rFonts w:ascii="Aptos" w:hAnsi="Aptos"/>
          <w:sz w:val="24"/>
        </w:rPr>
        <w:t xml:space="preserve">In-Network RX deductible: In-network deductible </w:t>
      </w:r>
    </w:p>
    <w:p>
      <w:pPr>
        <w:pStyle w:val="Normal"/>
        <w:spacing w:after="120" w:before="0"/>
        <w:ind w:left="216"/>
      </w:pPr>
      <w:r>
        <w:rPr>
          <w:rFonts w:ascii="Aptos" w:hAnsi="Aptos"/>
          <w:sz w:val="24"/>
        </w:rPr>
        <w:t xml:space="preserve">Out-of-Network RX Deductible: Out-of-network deductible </w:t>
      </w:r>
    </w:p>
    <w:p>
      <w:pPr>
        <w:pStyle w:val="Normal"/>
        <w:spacing w:after="120" w:before="0"/>
        <w:ind w:left="216"/>
      </w:pPr>
      <w:r>
        <w:rPr>
          <w:rFonts w:ascii="Aptos" w:hAnsi="Aptos"/>
          <w:sz w:val="24"/>
        </w:rPr>
        <w:t xml:space="preserve">In-Network Generic RX: T1A: $3 / T1: $10 deductible waived </w:t>
      </w:r>
    </w:p>
    <w:p>
      <w:pPr>
        <w:pStyle w:val="Normal"/>
        <w:spacing w:after="120" w:before="0"/>
        <w:ind w:left="216"/>
      </w:pPr>
      <w:r>
        <w:rPr>
          <w:rFonts w:ascii="Aptos" w:hAnsi="Aptos"/>
          <w:sz w:val="24"/>
        </w:rPr>
        <w:t xml:space="preserve">Out-of-Network Generic RX: 50% after deductible </w:t>
      </w:r>
    </w:p>
    <w:p>
      <w:pPr>
        <w:pStyle w:val="Normal"/>
        <w:spacing w:after="120" w:before="0"/>
        <w:ind w:left="216"/>
      </w:pPr>
      <w:r>
        <w:rPr>
          <w:rFonts w:ascii="Aptos" w:hAnsi="Aptos"/>
          <w:sz w:val="24"/>
        </w:rPr>
        <w:t xml:space="preserve">In-Network Brand RX: $50 after deductible </w:t>
      </w:r>
    </w:p>
    <w:p>
      <w:pPr>
        <w:pStyle w:val="Normal"/>
        <w:spacing w:after="120" w:before="0"/>
        <w:ind w:left="216"/>
      </w:pPr>
      <w:r>
        <w:rPr>
          <w:rFonts w:ascii="Aptos" w:hAnsi="Aptos"/>
          <w:sz w:val="24"/>
        </w:rPr>
        <w:t xml:space="preserve">Out-of-Network Brand RX: 50% after deductible </w:t>
      </w:r>
    </w:p>
    <w:p>
      <w:pPr>
        <w:pStyle w:val="Normal"/>
        <w:spacing w:after="120" w:before="0"/>
        <w:ind w:left="216"/>
      </w:pPr>
      <w:r>
        <w:rPr>
          <w:rFonts w:ascii="Aptos" w:hAnsi="Aptos"/>
          <w:sz w:val="24"/>
        </w:rPr>
        <w:t xml:space="preserve">In-Network Tier 3 RX: $100 after deductible </w:t>
      </w:r>
    </w:p>
    <w:p>
      <w:pPr>
        <w:pStyle w:val="Normal"/>
        <w:spacing w:after="120" w:before="0"/>
        <w:ind w:left="216"/>
      </w:pPr>
      <w:r>
        <w:rPr>
          <w:rFonts w:ascii="Aptos" w:hAnsi="Aptos"/>
          <w:sz w:val="24"/>
        </w:rPr>
        <w:t xml:space="preserve">Out-of-Network Tier 3 RX: 50% after deductible </w:t>
      </w:r>
    </w:p>
    <w:p>
      <w:pPr>
        <w:pStyle w:val="Normal"/>
        <w:spacing w:after="120" w:before="0"/>
        <w:ind w:left="216"/>
      </w:pPr>
      <w:r>
        <w:rPr>
          <w:rFonts w:ascii="Aptos" w:hAnsi="Aptos"/>
          <w:sz w:val="24"/>
        </w:rPr>
        <w:t xml:space="preserve">In-Network Tier 4 RX: 20% up to $250 after deductible </w:t>
      </w:r>
    </w:p>
    <w:p>
      <w:pPr>
        <w:pStyle w:val="Normal"/>
        <w:spacing w:after="120" w:before="0"/>
        <w:ind w:left="216"/>
      </w:pPr>
      <w:r>
        <w:rPr>
          <w:rFonts w:ascii="Aptos" w:hAnsi="Aptos"/>
          <w:sz w:val="24"/>
        </w:rPr>
        <w:t xml:space="preserve">Out-of-Network Tier 4 RX: Not covered </w:t>
      </w:r>
    </w:p>
    <w:p>
      <w:pPr>
        <w:pStyle w:val="Normal"/>
        <w:spacing w:after="120" w:before="0"/>
        <w:ind w:left="216"/>
      </w:pPr>
      <w:r>
        <w:rPr>
          <w:rFonts w:ascii="Aptos" w:hAnsi="Aptos"/>
          <w:sz w:val="24"/>
        </w:rPr>
        <w:t xml:space="preserve">In-Network Tier 5 RX: 40% up to $500 after deductible </w:t>
      </w:r>
    </w:p>
    <w:p>
      <w:pPr>
        <w:pStyle w:val="Normal"/>
        <w:spacing w:after="120" w:before="0"/>
        <w:ind w:left="216"/>
      </w:pPr>
      <w:r>
        <w:rPr>
          <w:rFonts w:ascii="Aptos" w:hAnsi="Aptos"/>
          <w:sz w:val="24"/>
        </w:rPr>
        <w:t xml:space="preserve">Out-of-Network Tier 5 RX: Not covered </w:t>
      </w:r>
    </w:p>
    <w:p>
      <w:pPr>
        <w:pStyle w:val="Normal"/>
        <w:spacing w:after="120" w:before="0"/>
        <w:ind w:left="216"/>
      </w:pPr>
      <w:r>
        <w:rPr>
          <w:rFonts w:ascii="Aptos" w:hAnsi="Aptos"/>
          <w:sz w:val="24"/>
        </w:rPr>
        <w:t xml:space="preserve">In-Network Mail Order RX: T1A: $6 / T1: $20 / $100 / $200 after deductible </w:t>
      </w:r>
    </w:p>
    <w:p>
      <w:pPr>
        <w:pStyle w:val="Normal"/>
        <w:spacing w:after="120" w:before="0"/>
        <w:ind w:left="216"/>
      </w:pPr>
      <w:r>
        <w:rPr>
          <w:rFonts w:ascii="Aptos" w:hAnsi="Aptos"/>
          <w:sz w:val="24"/>
        </w:rPr>
        <w:t xml:space="preserve">Out-of-Network Mail Order RX: Not covered </w:t>
      </w:r>
    </w:p>
    <w:p>
      <w:pPr>
        <w:pStyle w:val="Normal"/>
        <w:spacing w:after="120" w:before="0"/>
        <w:ind w:left="216"/>
      </w:pPr>
      <w:r>
        <w:rPr>
          <w:rFonts w:ascii="Aptos" w:hAnsi="Aptos"/>
          <w:sz w:val="24"/>
        </w:rPr>
        <w:t xml:space="preserve">Plan Year: </w:t>
      </w:r>
    </w:p>
    <w:p>
      <w:pPr>
        <w:pStyle w:val="Normal"/>
        <w:spacing w:after="120" w:before="0"/>
        <w:ind w:left="216"/>
      </w:pPr>
      <w:r>
        <w:rPr>
          <w:rFonts w:ascii="Aptos" w:hAnsi="Aptos"/>
          <w:sz w:val="24"/>
        </w:rPr>
        <w:t xml:space="preserve">Deductible Period: </w:t>
      </w:r>
    </w:p>
    <w:p>
      <w:pPr>
        <w:pStyle w:val="Normal"/>
        <w:spacing w:after="120" w:before="0"/>
        <w:ind w:left="216"/>
      </w:pPr>
      <w:r>
        <w:rPr>
          <w:rFonts w:ascii="Aptos" w:hAnsi="Aptos"/>
          <w:sz w:val="24"/>
        </w:rPr>
        <w:t xml:space="preserve">Deductible Explanation: Embedded </w:t>
      </w:r>
    </w:p>
    <w:p>
      <w:pPr>
        <w:pStyle w:val="Normal"/>
        <w:spacing w:after="120" w:before="0"/>
        <w:ind w:left="216"/>
      </w:pPr>
      <w:r>
        <w:rPr>
          <w:rFonts w:ascii="Aptos" w:hAnsi="Aptos"/>
          <w:sz w:val="24"/>
        </w:rPr>
        <w:t xml:space="preserve">Network Type: HSA </w:t>
      </w:r>
    </w:p>
    <w:p>
      <w:pPr>
        <w:pStyle w:val="Normal"/>
        <w:spacing w:after="120" w:before="0"/>
        <w:ind w:left="216"/>
      </w:pPr>
      <w:r>
        <w:rPr>
          <w:rFonts w:ascii="Aptos" w:hAnsi="Aptos"/>
          <w:sz w:val="24"/>
        </w:rPr>
        <w:t xml:space="preserve">Network Name: CPOSII </w:t>
      </w:r>
    </w:p>
    <w:p>
      <w:pPr>
        <w:pStyle w:val="Normal"/>
        <w:spacing w:after="120" w:before="0"/>
        <w:ind w:left="216"/>
      </w:pPr>
      <w:r>
        <w:rPr>
          <w:rFonts w:ascii="Aptos" w:hAnsi="Aptos"/>
          <w:sz w:val="24"/>
        </w:rPr>
        <w:t xml:space="preserve">Member Website: www.aetna.com </w:t>
      </w:r>
    </w:p>
    <w:p>
      <w:pPr>
        <w:pStyle w:val="Normal"/>
        <w:spacing w:after="120" w:before="0"/>
        <w:ind w:left="216"/>
      </w:pPr>
      <w:r>
        <w:rPr>
          <w:rFonts w:ascii="Aptos" w:hAnsi="Aptos"/>
          <w:sz w:val="24"/>
        </w:rPr>
        <w:t xml:space="preserve">Customer Service Phone Number: Please check the back of your ID card 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