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Anthem Blue Cross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5FKW CA Bronze PPO 100/80/50 Active 50/1500 MAC E&amp;P Basic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two per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two per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80%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80%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80%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80%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60%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60%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60%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60%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60%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50%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50%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Not Covered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Not Covered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Not Covered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Maximum Allowed Amount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07/2020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Anthem Dental Essential Choice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anthem.com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rTSIRIxm3w55QWhP0nkxuL7Bkw==">CgMxLjA4AHIhMTVTT0NSbEIwWlpoakdRRVNUZ29NWndWVm9oN2cxc2d2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