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Blue Cross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5FL1 CA Bronze PPO 100/80/50 Active 50/Unlimited MAC E&amp;P Basic CH Ortho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Unlimited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Unlimited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two per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two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60%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Dependent children through age 18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Maximum Allowed Amount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07/2020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Anthem Dental Essential Choice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anthem.com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5HPND0kUbh3naI/FJcdCrynlw==">CgMxLjA4AHIhMTdlREpDY2o3MjlkeExqanNhUGNObFZqdmVEeHplcHZ1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