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Blue Shield of California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Bronze DPPO/$1500/MAC/Child Only Ortho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20%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20%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20%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20%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40%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20%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40%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20%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40%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Not covered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Not covered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Orthodontic Benefits are covered for children only through the age of 19.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When you go to a Non-Participating Dentist, you pay the amount above the MAC percentage.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1/24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DPPO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DPPO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blueshieldca.com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C23C2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blueshieldc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e6l5PqydMq96y4t7eob/v4OIIg==">CgMxLjA4AHIhMVpQcjVNcDF1Z29ZdDZYWDhRcjBHaWk0eFU4a2NxWEUx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