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Health Net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Essential 2 1000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75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225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2 Cleaning per year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$0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20%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20%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20%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20%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20%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20%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20%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20%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Not Covered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Not Covered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Not Covered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Not Covered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Out-of-network benefits are reimbursed on a limited fee schedule.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1/2025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6IGvC/MBPbM3tAqkWsotOPGCFA==">CgMxLjA4AHIhMTR3WURCd29oZFpBem1vQXU2aUN6MWdLU3lldTVFdHFk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2025-08-07T14:44:00Z</dcterms:created>
  <dc:creator>joe@bisohio.com</dc:creator>
</cp:coreProperties>
</file>