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Health Net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DHMO Plus 225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2 Cleanings per year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$0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$0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$0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$0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$210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$40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$45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$225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$260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$1950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$1695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1/2025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YGaa9rrppzutSEKJyCsfRiLt6Q==">CgMxLjA4AHIhMU5RZUI4a1FmM3ZHeGhDUlR2T3lBUFd5WGhTVnZNOU1G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2025-08-07T14:44:00Z</dcterms:created>
  <dc:creator>joe@bisohio.com</dc:creator>
</cp:coreProperties>
</file>