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Solstice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11023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$1500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$1500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(2) prophylaxis in any twelve (12) consecutive months, to a maximum of (2) total prophylaxis and periodontal maintenance procedures in any twelve (12) consecutive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 to two (2) times per consecutive twelve (12) 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$1000 per person per 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Children up to 19 Years Old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Out of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‐</w:t>
      </w:r>
      <w:r w:rsidDel="00000000" w:rsidR="00000000" w:rsidRPr="00000000">
        <w:rPr>
          <w:rtl w:val="0"/>
        </w:rPr>
        <w:t xml:space="preserve">Network benefits are based on the 90th Percentile of Usual and Customary Charge.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www.MySolstice.net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1.877.760.2247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ysolstice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S+X7pTN4gaR7xaninlkt67S3Q==">CgMxLjA4AHIhMXZYTW44clhiQ0JkY1pPbzdGS1ZzLU51d0JwODQ1NlZz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