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Solstice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11237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$1000 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$1000 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(2) prophylaxis in any twelve (12) consecutive months, to a maximum of (2) total prophylaxis and periodontal maintenance procedures in any twelve (12) consecutive months.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 to two (2) times per consecutive twelve (12) months.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80%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80%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50%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50%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50%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50%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tabs>
          <w:tab w:val="center" w:leader="none" w:pos="4680"/>
        </w:tabs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$1000 per person per 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Children up to 19 Years Old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Out of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‐</w:t>
      </w:r>
      <w:r w:rsidDel="00000000" w:rsidR="00000000" w:rsidRPr="00000000">
        <w:rPr>
          <w:rtl w:val="0"/>
        </w:rPr>
        <w:t xml:space="preserve">Network benefits are based on the participating provider contracted fees.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www.MySolstice.net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1.877.760.2247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mysolstice.n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JptoK548p6/MuzLL9mf8xax4Cg==">CgMxLjA4AHIhMTdVZURKMVhMSHlzTVc5QnluYmlfR0NsQWR4WlMxV2pY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