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P2916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kcHf7c5mtcYCk2vgwoSvpWXiA==">CgMxLjA4AHIhMThtWk5LMDJZU3JEVDBOTF9COW9WdHNHOUdfazdnWG9M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