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P2931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ODrNWeXVSeDrKjkbkA7WUj63OQ==">CgMxLjA4AHIhMXEzNGdicUgwOV9BOGJybGdqcmRBRWVuaVVzNjBSUWpW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