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Preferred E100 24M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$20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$20 reimbursement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$10 reimbursement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$25 reimbursement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$55 reimbursement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$55 reimbursement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$69 reimbursement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$100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$50 reimbursement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rolling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rolling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24 rolling months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Out of Network Explanation: You can choose to receive care outside the network. Simply pay for the services up front and then submit a claim form to receive an amount up to the out of network reimbursement amounts listed above. Reimbursement will not exceed the providers actual charge.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Aetna Vision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AetnaVision.com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1-877-973-3238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VjOx7+SH0McHMrXxFHn4genJsQ==">CgMxLjA4AHIhMUJlektPSFNCQ0ZkVXJTN01OVnMxLU9EcGVZNWVYWFdG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