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Blue Shield of California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Basic Vision for Small Business 10/25/120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All charges above $60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All charges above $43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25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All charges above $60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All charges above $75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All charges above $200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$25 plus all charges above $120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All charges above $75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$25 plus all charges above $120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All charges above $75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One every 12 consecutive months.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24 consecutive months.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One every 24 consecutive months.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When you receive Covered Services from a Non-Participating Provider, you are responsible for: any charges above the stated Allowance, which is the Benefit maximum.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blueshieldca.com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NxaZIt0YFLeUto+/wDSBNcCdg==">CgMxLjA4AHIhMUtKNGJZSFBnVXRFcUgzZy1kT3VubVhnUUM3ZzJTLWxy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