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Guardian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Full Feature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Amount over $50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Amount over $48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Amount over $67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Amount over $86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Amount over $126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Amount over $150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Amount over $120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80% of amount over $150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Amount over $48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Every 12 months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Every 12 months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Every 24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VSP Network Signature Plan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FRSXIgVpoldFe4+vHk56vHa5w==">CgMxLjA4AHIhMUE1dXlqdlRqeEZGNE1hRkcyRkpudGhUZS1aeW5IN2NE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