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Guardian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Full Feature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In-Network Eye Exam: $10 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Out-of-Network Eye Exam: Amount over $46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Out-of-Network Single Vision Lens: Amount over $47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Bi-Focal Lens: Amount over $66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Tri-Focal Lens: Amount over $85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Lenticular Lens: Amount over $125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In-Network Contact Lens Allowance: Amount over $120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Out-of-Network Contact Lens Allowance: Amount over $120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In-Network Frame Allowance: 80% of amount over $120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Out-of-Network Frame Allowance: Amount over $47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Exam Frequency: Every 12 Months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Lens Frequency: Every 12 Months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Frame Frequency: Every 12 Months 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Network Name: VSP Network Signature Plan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lCDH3xTkk/HmcBEphGn5hV9DQ==">CgMxLjA4AHIhMXpXakNhLUZTVjNJWmVSV0syWmxqRlkwZ0w5ZXNZZnhn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