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Humana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Vision 200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$30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$25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$40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$60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Up to $100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$200 allowance,15% off balance over $200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$160 allowance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$200 allowance,20% off balance over $200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$100 allowance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12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06/24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Humana.com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877-398-2980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C5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C59A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1tbGQl1i7ls5w+nXcHw0OwKv8w==">CgMxLjA4AHIhMURVcldVZFozdVd0UEZCbWV1VkFGaVlEdUlSSTJpV0x4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