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MetLife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VI-STAND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$45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$30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$50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$65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$100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$100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Elective up to $80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$100 after $25 eyewear copay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$55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24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If you choose an out-of-network provider, you will have increased out-of-pocket expenses, pay in full at time of service, and file a claim for reimbursement.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VSP Choice Network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www.metlife.com/mybenefits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1-855-638-3931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9A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etlife.com/mybenefi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6zgj3hLuOCU/5kIwED5JwaGRGw==">CgMxLjA4AHIhMUlfRm03U0xHU254cVVlLWZNZ0hyLVQxZFZxcy1iUEVZ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