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Principal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MCV Plan 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$10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Up to $45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$10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Up to $30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$10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Up to $50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$10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Up to $65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$10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Up to $100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$150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Up to $105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$150 allowance for a wide selection of frames; 20% off amount over allowance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up to $70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One per 12 month period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One pair per 12 month period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One set per 24 month period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04/2015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VSP Choice Network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www.principal.com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800-877-7195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AC59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59AE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7A3809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principa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MUEPP6tIb1RBQ7KYeA+ZwgAng==">CgMxLjA4AHIhMXhLRnhPN2FJRVNIX2FYMXlxMGpaZDFqVkdlbG5teV9o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