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Principal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MCV Plan 4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$10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Up to $45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$25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Up to $30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$25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Up to $50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$25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Up to $65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$25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Up to $100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$150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Up to $105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$150 allowance for a wide selection of frames; 20% off amount over allowance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up to $70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One per 12 month period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One pair per 12 month period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One set per 12 month period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04/2015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VSP Choice Network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www.principal.com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800-877-7195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AC59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59AE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7A3809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principa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VD8TJi/B/RGt+5nZs67ykSJeJA==">CgMxLjA4AHIhMTRGLVV5d0lwVEo4cWtBZWp3VDR0ZFRfQkNHV00tVHA1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