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B846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$40.00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$0.00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$0.00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$0.00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$0.00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$0.00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0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Participant pays all billed charges to the provider, and UnitedHealthcare reimburses the participant for services rendered up to the maximum allowance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03/25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myuhcvision.com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1-800-638-3120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1l0T1O/d40UWaxlNdpwi2FYog==">CgMxLjA4AHIhMWpzNE5lYnBNMm9mRno2TXBKY01OVFpoMHpabzRoTHpX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