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Carrier Name: United HealthCare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 Name: SH426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In-Network Eye Exam: $15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Out-of-Network Eye Exam: Up to $40.00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In-Network Single Vision Lens: $30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Out-of-Network Single Vision Lens: Up to $40.00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In-Network Lined Bi-Focal Lens: $30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Out-of-Network Lined Bi-Focal Lens: Up to $60.00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In-Network Lined Tri-Focal Lens: $30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Out-of-Network Lined Tri-Focal Lens: Up to $80.00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In-Network Lenticular Lens: $30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Out-of-Network Lenticular Lens: Up to $80.00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In-Network Contact Lens Allowance: $175.00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Out-of-Network Contact Lens Allowance: Up to $210.00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In-Network Frame Allowance: $175.00 retail frame allowance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Out-of-Network Frame Allowance: Up to $45.00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Exam Frequency: Once every 12 months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Lens Frequency: Once every 12 months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Frame Frequency: Once every 24 months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 of Network Explanation: Participant pays all billed charges to the provider, and UnitedHealthcare reimburses the participant for services rendered up to the maximum allowance. Copays do not apply to out-of-network benefits.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Plan Year: 11/18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Network Name: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Member Website: myuhcvision.com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Customer Service Phone Number: (800) 638-3120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kd8i8Osq5l2D6lbCMYVY4d+jdg==">CgMxLjA4AHIhMWpoSW5fZHhzMFpQWGNkQk4wd18wQWVrZWZxeHZ3S3A3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2025-05-13T14:27:00Z</dcterms:created>
  <dc:creator>joe@bisohio.com</dc:creator>
</cp:coreProperties>
</file>