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VSP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Vision Care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$300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$300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Every plan year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Every plan year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Every plan year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2025-2026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vsp.com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800.877.7195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vs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3XFiQLRAXXeA8TAg6g8OW7c1Q==">CgMxLjA4AHIhMVhQczFmWUU4Y3NVWWVybFdQVHE5TDhralpNaFBCdlRl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