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VSP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Care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$50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$75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$100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$105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$150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$70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Every 12 months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Every 24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Signature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vsp.com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800.877.7195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DzdxkwGcYzh5T9al9/zq8VlCHg==">CgMxLjA4AHIhMWotYURpQ1N1VndIRmdiWHlXemRUMU9NbWlpZTlKay13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